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7F0E">
      <w:pPr>
        <w:widowControl w:val="0"/>
        <w:autoSpaceDE w:val="0"/>
        <w:autoSpaceDN w:val="0"/>
        <w:adjustRightInd w:val="0"/>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Title: Prognostic and diagnostic roles of some non-classic biomarkers in pediatric pneumonia</w:t>
      </w:r>
    </w:p>
    <w:p w14:paraId="5969EC1D">
      <w:pPr>
        <w:widowControl w:val="0"/>
        <w:autoSpaceDE w:val="0"/>
        <w:autoSpaceDN w:val="0"/>
        <w:adjustRightInd w:val="0"/>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Running title: Non-Classic Biomarkers in Pediatric Pneumonia: Prognostic and Diagnostic Insights</w:t>
      </w:r>
    </w:p>
    <w:p w14:paraId="4F93FEEF">
      <w:pPr>
        <w:widowControl w:val="0"/>
        <w:autoSpaceDE w:val="0"/>
        <w:autoSpaceDN w:val="0"/>
        <w:adjustRightInd w:val="0"/>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Abstract</w:t>
      </w:r>
    </w:p>
    <w:p w14:paraId="7BA7EDF6">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Background:</w:t>
      </w:r>
      <w:r>
        <w:rPr>
          <w:rFonts w:asciiTheme="majorBidi" w:hAnsiTheme="majorBidi" w:cstheme="majorBidi"/>
          <w:sz w:val="24"/>
          <w:szCs w:val="24"/>
          <w:lang w:val="en-US"/>
        </w:rPr>
        <w:t xml:space="preserve"> Pediatric pneumonia remains a leading cause of childhood morbidity and mortality worldwide. Traditional biomarkers have limitations in predicting disease severity and outcomes. This study evaluated the diagnostic and prognostic value of non-classic biomarkers in pediatric pneumonia.</w:t>
      </w:r>
    </w:p>
    <w:p w14:paraId="74610015">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Objective:</w:t>
      </w:r>
      <w:r>
        <w:rPr>
          <w:rFonts w:asciiTheme="majorBidi" w:hAnsiTheme="majorBidi" w:cstheme="majorBidi"/>
          <w:sz w:val="24"/>
          <w:szCs w:val="24"/>
          <w:lang w:val="en-US"/>
        </w:rPr>
        <w:t xml:space="preserve"> To assess the utility of  neutrophil CD64 expression, neutrophil-to-monocyte CD64 ratio, neutrophil-to-lymphocyte CD64 ratio in pediatric pneumonia diagnosis and prognosis.</w:t>
      </w:r>
    </w:p>
    <w:p w14:paraId="484D2070">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Methods:</w:t>
      </w:r>
      <w:r>
        <w:rPr>
          <w:rFonts w:asciiTheme="majorBidi" w:hAnsiTheme="majorBidi" w:cstheme="majorBidi"/>
          <w:sz w:val="24"/>
          <w:szCs w:val="24"/>
          <w:lang w:val="en-US"/>
        </w:rPr>
        <w:t xml:space="preserve"> A case-control study was conducted at Assiut University Children's Hospital including 60 children with pneumonia and 60 age-matched healthy controls. Clinical assessments, routine laboratory investigations, and flow cytometric analysis were performed. Cases were evaluated using the Clinical Respiratory Score and followed for outcomes including ICU admission, mechanical ventilation, and mortality. Receiver operating characteristic (ROC) curve analysis determined diagnostic performance.</w:t>
      </w:r>
    </w:p>
    <w:p w14:paraId="51E23770">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Results:</w:t>
      </w:r>
      <w:r>
        <w:rPr>
          <w:rFonts w:asciiTheme="majorBidi" w:hAnsiTheme="majorBidi" w:cstheme="majorBidi"/>
          <w:sz w:val="24"/>
          <w:szCs w:val="24"/>
          <w:lang w:val="en-US"/>
        </w:rPr>
        <w:t xml:space="preserve"> The non-classic biomarker showed significant differences between cases and controls (p&lt;0.001). Neutrophil CD64 (692.67±326.26 vs. 359.84±57.48), and CD64 ratios were significantly elevated in cases. Biomarkers correlated significantly with disease severity, prolonged hospitalization, ICU admission, and mechanical ventilation. Fatal cases demonstrated markedly elevated inflammatory markers. ROC analysis revealed excellent diagnostic performance, with neutrophil-to-lymphocyte CD64 ratio showing superior accuracy (AUC=0.97, sensitivity=90%, specificity=99%).</w:t>
      </w:r>
    </w:p>
    <w:p w14:paraId="6E7599DA">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Conclusion:</w:t>
      </w:r>
      <w:r>
        <w:rPr>
          <w:rFonts w:asciiTheme="majorBidi" w:hAnsiTheme="majorBidi" w:cstheme="majorBidi"/>
          <w:sz w:val="24"/>
          <w:szCs w:val="24"/>
          <w:lang w:val="en-US"/>
        </w:rPr>
        <w:t xml:space="preserve"> Non-classic biomarkers demonstrate significant diagnostic and prognostic utility in pediatric pneumonia. These findings support their integration into clinical practice for improved risk stratification, treatment decision-making, and outcome prediction in children with pneumonia.</w:t>
      </w:r>
    </w:p>
    <w:p w14:paraId="309C3C0E">
      <w:pPr>
        <w:widowControl w:val="0"/>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Keywords:</w:t>
      </w:r>
      <w:r>
        <w:rPr>
          <w:rFonts w:asciiTheme="majorBidi" w:hAnsiTheme="majorBidi" w:cstheme="majorBidi"/>
          <w:sz w:val="24"/>
          <w:szCs w:val="24"/>
          <w:lang w:val="en-US"/>
        </w:rPr>
        <w:t xml:space="preserve"> Pediatric pneumonia;  CD64; Biomarkers; Prognosis; Diagnosis</w:t>
      </w:r>
    </w:p>
    <w:p w14:paraId="74B8A24D">
      <w:pPr>
        <w:widowControl w:val="0"/>
        <w:autoSpaceDE w:val="0"/>
        <w:autoSpaceDN w:val="0"/>
        <w:adjustRightInd w:val="0"/>
        <w:spacing w:after="0" w:line="480" w:lineRule="auto"/>
        <w:jc w:val="both"/>
        <w:rPr>
          <w:rFonts w:asciiTheme="minorBidi" w:hAnsiTheme="minorBidi"/>
          <w:lang w:val="en-US"/>
        </w:rPr>
      </w:pPr>
    </w:p>
    <w:p w14:paraId="6A374D2B">
      <w:pPr>
        <w:widowControl w:val="0"/>
        <w:tabs>
          <w:tab w:val="left" w:pos="6480"/>
        </w:tabs>
        <w:autoSpaceDE w:val="0"/>
        <w:autoSpaceDN w:val="0"/>
        <w:adjustRightInd w:val="0"/>
        <w:spacing w:after="0" w:line="480" w:lineRule="auto"/>
        <w:rPr>
          <w:rFonts w:asciiTheme="minorBidi" w:hAnsiTheme="minorBidi"/>
          <w:caps/>
        </w:rPr>
      </w:pPr>
    </w:p>
    <w:p w14:paraId="66986BB8">
      <w:pPr>
        <w:widowControl w:val="0"/>
        <w:tabs>
          <w:tab w:val="left" w:pos="6480"/>
        </w:tabs>
        <w:autoSpaceDE w:val="0"/>
        <w:autoSpaceDN w:val="0"/>
        <w:adjustRightInd w:val="0"/>
        <w:spacing w:after="0" w:line="480" w:lineRule="auto"/>
        <w:rPr>
          <w:rFonts w:asciiTheme="minorBidi" w:hAnsiTheme="minorBidi"/>
          <w:b/>
          <w:bCs/>
          <w:caps/>
        </w:rPr>
      </w:pPr>
    </w:p>
    <w:p w14:paraId="006970C7">
      <w:pPr>
        <w:widowControl w:val="0"/>
        <w:tabs>
          <w:tab w:val="left" w:pos="6480"/>
        </w:tabs>
        <w:autoSpaceDE w:val="0"/>
        <w:autoSpaceDN w:val="0"/>
        <w:adjustRightInd w:val="0"/>
        <w:spacing w:after="0" w:line="480" w:lineRule="auto"/>
        <w:rPr>
          <w:rFonts w:asciiTheme="minorBidi" w:hAnsiTheme="minorBidi"/>
          <w:b/>
          <w:bCs/>
          <w:caps/>
        </w:rPr>
        <w:sectPr>
          <w:footerReference r:id="rId5" w:type="default"/>
          <w:footerReference r:id="rId6" w:type="even"/>
          <w:pgSz w:w="12240" w:h="15840"/>
          <w:pgMar w:top="1440" w:right="1440" w:bottom="1440" w:left="1440" w:header="720" w:footer="720" w:gutter="0"/>
          <w:cols w:space="720" w:num="1"/>
          <w:docGrid w:linePitch="360" w:charSpace="0"/>
        </w:sectPr>
      </w:pPr>
    </w:p>
    <w:p w14:paraId="68182A3A">
      <w:pPr>
        <w:widowControl w:val="0"/>
        <w:tabs>
          <w:tab w:val="left" w:pos="6480"/>
        </w:tabs>
        <w:autoSpaceDE w:val="0"/>
        <w:autoSpaceDN w:val="0"/>
        <w:adjustRightInd w:val="0"/>
        <w:spacing w:after="0" w:line="480" w:lineRule="auto"/>
        <w:rPr>
          <w:rFonts w:asciiTheme="majorBidi" w:hAnsiTheme="majorBidi" w:cstheme="majorBidi"/>
          <w:sz w:val="24"/>
          <w:szCs w:val="24"/>
        </w:rPr>
      </w:pPr>
      <w:r>
        <w:rPr>
          <w:rFonts w:asciiTheme="majorBidi" w:hAnsiTheme="majorBidi" w:cstheme="majorBidi"/>
          <w:b/>
          <w:bCs/>
          <w:sz w:val="24"/>
          <w:szCs w:val="24"/>
        </w:rPr>
        <w:t>Introduction</w:t>
      </w:r>
    </w:p>
    <w:p w14:paraId="0218EC29">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Pediatric pneumonia remains a leading cause of morbidity and mortality among children worldwide, accounting for approximately 15% of all deaths in children under five years of age. Despite advances in diagnostic imaging and laboratory techniques, early identification of pneumonia severity and accurate prognostic assessment continue to challenge clinicians, particularly in resource-limited settings where rapid decision-making is crucial for optimal patient outcomes [1].</w:t>
      </w:r>
    </w:p>
    <w:p w14:paraId="112890C7">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Traditional biomarkers such as C-reactive protein (CRP), procalcitonin, and white blood cell count, while widely used, demonstrate suboptimal sensitivity and specificity for distinguishing pneumonia severity and predicting clinical outcomes in pediatric populations [2]. The heterogeneous clinical presentation of pediatric pneumonia, coupled with the limitations of conventional chest radiography in early disease stages, necessitates the identification of more precise diagnostic and prognostic tools [3].</w:t>
      </w:r>
    </w:p>
    <w:p w14:paraId="5C46D864">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 xml:space="preserve">Recent advances in immunology have highlighted the potential of non-classic biomarkers that reflect specific aspects of the host immune response to respiratory infections. </w:t>
      </w:r>
      <w:r>
        <w:rPr>
          <w:rFonts w:hint="default" w:eastAsia="Calibri" w:asciiTheme="majorBidi" w:hAnsiTheme="majorBidi" w:cstheme="majorBidi"/>
          <w:bCs/>
          <w:sz w:val="24"/>
          <w:szCs w:val="24"/>
          <w:lang w:val="en-US"/>
        </w:rPr>
        <w:t>N</w:t>
      </w:r>
      <w:r>
        <w:rPr>
          <w:rFonts w:eastAsia="Calibri" w:asciiTheme="majorBidi" w:hAnsiTheme="majorBidi" w:cstheme="majorBidi"/>
          <w:bCs/>
          <w:sz w:val="24"/>
          <w:szCs w:val="24"/>
          <w:lang w:val="en-US"/>
        </w:rPr>
        <w:t xml:space="preserve">eutrophil CD64 expression, a high-affinity Fc receptor upregulated during bacterial infections, offers potential for distinguishing infectious from non-infectious inflammatory conditions </w:t>
      </w:r>
      <w:r>
        <w:rPr>
          <w:rFonts w:eastAsia="Times New Roman" w:asciiTheme="majorBidi" w:hAnsiTheme="majorBidi" w:cstheme="majorBidi"/>
          <w:bCs/>
          <w:sz w:val="24"/>
          <w:szCs w:val="24"/>
        </w:rPr>
        <w:t>[5]</w:t>
      </w:r>
      <w:r>
        <w:rPr>
          <w:rFonts w:eastAsia="Calibri" w:asciiTheme="majorBidi" w:hAnsiTheme="majorBidi" w:cstheme="majorBidi"/>
          <w:bCs/>
          <w:sz w:val="24"/>
          <w:szCs w:val="24"/>
          <w:lang w:val="en-US"/>
        </w:rPr>
        <w:t xml:space="preserve">. </w:t>
      </w:r>
    </w:p>
    <w:p w14:paraId="24E86AB8">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The clinical utility of th</w:t>
      </w:r>
      <w:r>
        <w:rPr>
          <w:rFonts w:hint="default" w:eastAsia="Calibri" w:asciiTheme="majorBidi" w:hAnsiTheme="majorBidi" w:cstheme="majorBidi"/>
          <w:bCs/>
          <w:sz w:val="24"/>
          <w:szCs w:val="24"/>
          <w:lang w:val="en-US"/>
        </w:rPr>
        <w:t>is</w:t>
      </w:r>
      <w:r>
        <w:rPr>
          <w:rFonts w:eastAsia="Calibri" w:asciiTheme="majorBidi" w:hAnsiTheme="majorBidi" w:cstheme="majorBidi"/>
          <w:bCs/>
          <w:sz w:val="24"/>
          <w:szCs w:val="24"/>
          <w:lang w:val="en-US"/>
        </w:rPr>
        <w:t xml:space="preserve"> non-classic biomarker in pediatric pneumonia diagnosis, severity assessment, and outcome prediction remains inadequately characterized. Furthermore, their intercorrelation and relative performance compared to traditional inflammatory markers require systematic evaluation to determine their potential integration into clinical practice.</w:t>
      </w:r>
    </w:p>
    <w:p w14:paraId="39DBD8D1">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p>
    <w:p w14:paraId="2FA967F3">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p>
    <w:p w14:paraId="672B30B9">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Patients and Methods</w:t>
      </w:r>
    </w:p>
    <w:p w14:paraId="7EF90A9C">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Study Design and Setting</w:t>
      </w:r>
    </w:p>
    <w:p w14:paraId="331907F8">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This case-control study was conducted at Assiut University Children's Hospital (AUCH), specifically within the Chest and Emergency Unit, over a two-year period. The study protocol was approved by the institutional review board, and written informed consent was obtained from parents or guardians of all participants.</w:t>
      </w:r>
    </w:p>
    <w:p w14:paraId="62539453">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Study Population</w:t>
      </w:r>
    </w:p>
    <w:p w14:paraId="3B6E2F2F">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Inclusion Criteria</w:t>
      </w:r>
    </w:p>
    <w:p w14:paraId="0D1501A8">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Children aged one month to five years presenting with community-acquired pneumonia (CAP) at AUCH were enrolled as cases. Controls comprised age- and sex-matched healthy children without CAP.</w:t>
      </w:r>
    </w:p>
    <w:p w14:paraId="79ED4CDD">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Exclusion Criteria</w:t>
      </w:r>
    </w:p>
    <w:p w14:paraId="1FAABB64">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Patients with severe sepsis, localized infections (endocarditis, empyema), autoimmune diseases, liver cirrhosis, or those receiving immunosuppressive therapy were excluded to maintain study homogeneity.</w:t>
      </w:r>
    </w:p>
    <w:p w14:paraId="73E39D9A">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Sample Size</w:t>
      </w:r>
    </w:p>
    <w:p w14:paraId="7E221893">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A total of 120 participants were recruited: 60 children with pneumonia (cases) and 60 healthy controls matched by age and sex. Sample size was calculated based on anticipated effect sizes and statistical power considerations for detecting significant between-group differences.</w:t>
      </w:r>
    </w:p>
    <w:p w14:paraId="7D15B483">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Data Collection</w:t>
      </w:r>
    </w:p>
    <w:p w14:paraId="44BB0232">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Clinical Assessment</w:t>
      </w:r>
    </w:p>
    <w:p w14:paraId="555014B3">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Comprehensive medical history and physical examination were performed for all participants. Clinical data included presenting symptoms, illness duration, vaccination status, hospital length of stay, intensive care unit (ICU) admission, mechanical ventilation requirements, and clinical outcomes.</w:t>
      </w:r>
    </w:p>
    <w:p w14:paraId="7C36FD60">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Disease Severity Assessment</w:t>
      </w:r>
    </w:p>
    <w:p w14:paraId="64A350B9">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Respiratory distress severity was evaluated using the Clinical Respiratory Score (CRS), incorporating six parameters: respiratory rate, auscultation findings, accessory muscle use, mental status, oxygen saturation, and color. Patients were classified as mild (≤3), moderate (4-7), or severe (8-12) based on total scores [7].</w:t>
      </w:r>
    </w:p>
    <w:p w14:paraId="685CA4FE">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Laboratory Investigations</w:t>
      </w:r>
    </w:p>
    <w:p w14:paraId="453291AB">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Routine Laboratory Tests</w:t>
      </w:r>
    </w:p>
    <w:p w14:paraId="400B2E74">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Complete blood count, C-reactive protein (CRP), and chest X-ray were performed for all participants. Blood samples were collected in EDTA-anticoagulated tubes for hematological analysis.</w:t>
      </w:r>
    </w:p>
    <w:p w14:paraId="0801F01C">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Flow Cytometric Analysis</w:t>
      </w:r>
    </w:p>
    <w:p w14:paraId="4D651F17">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Neutrophil CD64 expression and was assessed using flow cytometry from 50μl whole blood samples. Cell differentiation was achieved through forward and side scatter gating, following standardized protocols.</w:t>
      </w:r>
    </w:p>
    <w:p w14:paraId="3B6682AF">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Biomarker Analysis</w:t>
      </w:r>
    </w:p>
    <w:p w14:paraId="66B0386E">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Neutrophil-to-monocyte CD64 ratio and neutrophil-to-lymphocyte CD64 ratio were calculated from flow cytometric data.</w:t>
      </w:r>
    </w:p>
    <w:p w14:paraId="1171D165">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Statistical Analysis</w:t>
      </w:r>
    </w:p>
    <w:p w14:paraId="567AC5B7">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Statistical analysis was performed using SPSS version 20.0 (SPSS Inc., Chicago, IL, USA). Continuous variables were expressed as mean ± standard deviation for normally distributed data or median and range for non-normally distributed data. Categorical variables were presented as frequencies and percentages.</w:t>
      </w:r>
    </w:p>
    <w:p w14:paraId="3EFFD5E5">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Between-group comparisons were performed using Student's t-test for normally distributed continuous variables and Mann-Whitney U test for non-normally distributed data. Chi-square test or Fisher's exact test (when expected frequency &lt;5) was used for categorical variables. One-way ANOVA was employed for multiple group comparisons. Correlation analysis was conducted using Pearson correlation coefficient. Receiver operating characteristic (ROC) curve analysis was performed to evaluate the diagnostic performance of biomarkers for predicting pediatric pneumonia. Statistical significance was set at p&lt;0.05 (two-tailed).</w:t>
      </w:r>
    </w:p>
    <w:p w14:paraId="77BD98EA">
      <w:pPr>
        <w:widowControl w:val="0"/>
        <w:autoSpaceDE w:val="0"/>
        <w:autoSpaceDN w:val="0"/>
        <w:adjustRightInd w:val="0"/>
        <w:spacing w:after="0" w:line="480" w:lineRule="auto"/>
        <w:jc w:val="both"/>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Ethical Considerations</w:t>
      </w:r>
    </w:p>
    <w:p w14:paraId="3FA04A56">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r>
        <w:rPr>
          <w:rFonts w:eastAsia="Calibri" w:asciiTheme="majorBidi" w:hAnsiTheme="majorBidi" w:cstheme="majorBidi"/>
          <w:bCs/>
          <w:sz w:val="24"/>
          <w:szCs w:val="24"/>
          <w:lang w:val="en-US"/>
        </w:rPr>
        <w:t>The study was conducted in accordance with the Declaration of Helsinki. All patient data remained strictly confidential, and comprehensive information regarding study procedures was provided to guardians prior to obtaining informed consent.</w:t>
      </w:r>
    </w:p>
    <w:p w14:paraId="03508C81">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p>
    <w:p w14:paraId="442ADA60">
      <w:pPr>
        <w:widowControl w:val="0"/>
        <w:autoSpaceDE w:val="0"/>
        <w:autoSpaceDN w:val="0"/>
        <w:adjustRightInd w:val="0"/>
        <w:spacing w:after="0" w:line="480" w:lineRule="auto"/>
        <w:jc w:val="both"/>
        <w:rPr>
          <w:rFonts w:eastAsia="Calibri" w:asciiTheme="majorBidi" w:hAnsiTheme="majorBidi" w:cstheme="majorBidi"/>
          <w:bCs/>
          <w:sz w:val="24"/>
          <w:szCs w:val="24"/>
          <w:lang w:val="en-US"/>
        </w:rPr>
      </w:pPr>
    </w:p>
    <w:p w14:paraId="3B08607B">
      <w:pPr>
        <w:widowControl w:val="0"/>
        <w:autoSpaceDE w:val="0"/>
        <w:autoSpaceDN w:val="0"/>
        <w:adjustRightInd w:val="0"/>
        <w:spacing w:after="0" w:line="480" w:lineRule="auto"/>
        <w:jc w:val="both"/>
        <w:rPr>
          <w:rFonts w:eastAsia="Calibri" w:asciiTheme="minorBidi" w:hAnsiTheme="minorBidi"/>
          <w:bCs/>
          <w:lang w:val="en-US"/>
        </w:rPr>
      </w:pPr>
    </w:p>
    <w:p w14:paraId="4B6A23BA">
      <w:pPr>
        <w:widowControl w:val="0"/>
        <w:autoSpaceDE w:val="0"/>
        <w:autoSpaceDN w:val="0"/>
        <w:adjustRightInd w:val="0"/>
        <w:spacing w:after="0" w:line="480" w:lineRule="auto"/>
        <w:jc w:val="both"/>
        <w:rPr>
          <w:rFonts w:eastAsia="Calibri" w:asciiTheme="minorBidi" w:hAnsiTheme="minorBidi"/>
          <w:bCs/>
          <w:lang w:val="en-US"/>
        </w:rPr>
      </w:pPr>
    </w:p>
    <w:p w14:paraId="41E976A1">
      <w:pPr>
        <w:widowControl w:val="0"/>
        <w:autoSpaceDE w:val="0"/>
        <w:autoSpaceDN w:val="0"/>
        <w:adjustRightInd w:val="0"/>
        <w:spacing w:after="0" w:line="480" w:lineRule="auto"/>
        <w:jc w:val="both"/>
        <w:rPr>
          <w:rFonts w:eastAsia="Calibri" w:asciiTheme="minorBidi" w:hAnsiTheme="minorBidi"/>
          <w:bCs/>
          <w:lang w:val="en-US"/>
        </w:rPr>
      </w:pPr>
    </w:p>
    <w:p w14:paraId="3478D315">
      <w:pPr>
        <w:widowControl w:val="0"/>
        <w:autoSpaceDE w:val="0"/>
        <w:autoSpaceDN w:val="0"/>
        <w:adjustRightInd w:val="0"/>
        <w:spacing w:after="0" w:line="480" w:lineRule="auto"/>
        <w:jc w:val="both"/>
        <w:rPr>
          <w:rFonts w:eastAsia="Calibri" w:asciiTheme="minorBidi" w:hAnsiTheme="minorBidi"/>
          <w:bCs/>
          <w:lang w:val="en-US"/>
        </w:rPr>
      </w:pPr>
    </w:p>
    <w:p w14:paraId="1A46A93E">
      <w:pPr>
        <w:widowControl w:val="0"/>
        <w:autoSpaceDE w:val="0"/>
        <w:autoSpaceDN w:val="0"/>
        <w:adjustRightInd w:val="0"/>
        <w:spacing w:after="0" w:line="480" w:lineRule="auto"/>
        <w:jc w:val="both"/>
        <w:rPr>
          <w:rFonts w:eastAsia="Calibri" w:asciiTheme="minorBidi" w:hAnsiTheme="minorBidi"/>
          <w:bCs/>
          <w:lang w:val="en-US"/>
        </w:rPr>
      </w:pPr>
    </w:p>
    <w:p w14:paraId="23D7767C">
      <w:pPr>
        <w:widowControl w:val="0"/>
        <w:autoSpaceDE w:val="0"/>
        <w:autoSpaceDN w:val="0"/>
        <w:adjustRightInd w:val="0"/>
        <w:spacing w:after="0" w:line="480" w:lineRule="auto"/>
        <w:jc w:val="both"/>
        <w:rPr>
          <w:rFonts w:eastAsia="Calibri" w:asciiTheme="minorBidi" w:hAnsiTheme="minorBidi"/>
          <w:bCs/>
          <w:lang w:val="en-US"/>
        </w:rPr>
      </w:pPr>
    </w:p>
    <w:p w14:paraId="5A8BD372">
      <w:pPr>
        <w:widowControl w:val="0"/>
        <w:autoSpaceDE w:val="0"/>
        <w:autoSpaceDN w:val="0"/>
        <w:adjustRightInd w:val="0"/>
        <w:spacing w:after="0" w:line="480" w:lineRule="auto"/>
        <w:jc w:val="both"/>
        <w:rPr>
          <w:rFonts w:eastAsia="Calibri" w:asciiTheme="minorBidi" w:hAnsiTheme="minorBidi"/>
          <w:bCs/>
          <w:lang w:val="en-US"/>
        </w:rPr>
      </w:pPr>
    </w:p>
    <w:p w14:paraId="3E7A8DEE">
      <w:pPr>
        <w:widowControl w:val="0"/>
        <w:autoSpaceDE w:val="0"/>
        <w:autoSpaceDN w:val="0"/>
        <w:adjustRightInd w:val="0"/>
        <w:spacing w:after="0" w:line="480" w:lineRule="auto"/>
        <w:jc w:val="both"/>
        <w:rPr>
          <w:rFonts w:eastAsia="Calibri" w:asciiTheme="minorBidi" w:hAnsiTheme="minorBidi"/>
          <w:bCs/>
          <w:lang w:val="en-US"/>
        </w:rPr>
      </w:pPr>
    </w:p>
    <w:p w14:paraId="50561545">
      <w:pPr>
        <w:widowControl w:val="0"/>
        <w:autoSpaceDE w:val="0"/>
        <w:autoSpaceDN w:val="0"/>
        <w:adjustRightInd w:val="0"/>
        <w:spacing w:after="0" w:line="480" w:lineRule="auto"/>
        <w:jc w:val="both"/>
        <w:rPr>
          <w:rFonts w:eastAsia="Calibri" w:asciiTheme="minorBidi" w:hAnsiTheme="minorBidi"/>
          <w:bCs/>
          <w:lang w:val="en-US"/>
        </w:rPr>
      </w:pPr>
    </w:p>
    <w:p w14:paraId="75D3B110">
      <w:pPr>
        <w:widowControl w:val="0"/>
        <w:autoSpaceDE w:val="0"/>
        <w:autoSpaceDN w:val="0"/>
        <w:adjustRightInd w:val="0"/>
        <w:spacing w:after="0" w:line="480" w:lineRule="auto"/>
        <w:jc w:val="both"/>
        <w:rPr>
          <w:rFonts w:eastAsia="Calibri" w:asciiTheme="minorBidi" w:hAnsiTheme="minorBidi"/>
          <w:bCs/>
          <w:lang w:val="en-US"/>
        </w:rPr>
      </w:pPr>
      <w:bookmarkStart w:id="0" w:name="_GoBack"/>
      <w:bookmarkEnd w:id="0"/>
    </w:p>
    <w:p w14:paraId="413B9F52">
      <w:pPr>
        <w:widowControl w:val="0"/>
        <w:autoSpaceDE w:val="0"/>
        <w:autoSpaceDN w:val="0"/>
        <w:adjustRightInd w:val="0"/>
        <w:spacing w:after="0" w:line="480" w:lineRule="auto"/>
        <w:jc w:val="both"/>
        <w:rPr>
          <w:rFonts w:asciiTheme="minorBidi" w:hAnsiTheme="minorBidi"/>
          <w:b/>
          <w:bCs/>
          <w:caps/>
        </w:rPr>
      </w:pPr>
      <w:r>
        <w:rPr>
          <w:rFonts w:asciiTheme="minorBidi" w:hAnsiTheme="minorBidi"/>
          <w:b/>
          <w:bCs/>
        </w:rPr>
        <w:t>Results</w:t>
      </w:r>
    </w:p>
    <w:p w14:paraId="275BDDA3">
      <w:pPr>
        <w:spacing w:before="100" w:beforeAutospacing="1" w:after="100" w:afterAutospacing="1"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Table 1 shows the demographic characteristics, clinical features, laboratory parameters, and non-classic biomarkers among pediatric pneumonia cases and controls. Cases had significantly higher rural residence (73% vs. 37%, p&lt;0.001) and lower vitamin supplementation (46.6% vs. 73%, p=0.002) compared to controls. Vital signs demonstrated significant differences, with cases showing tachycardia (150.97±25.81 vs. 139.00±9.19 beats/min, p=0.001), tachypnea (47.83±9.89 vs. 44.07±8.80 cycles/min, p=0.03), fever (38.23±0.48°C vs. 37.50±0.46°C, p&lt;0.001), and hypoxemia (88.98±7.33% vs. 95.90±1.54%, p&lt;0.001). Hematological parameters showed leukocytosis in cases (WBCs 14233.08±4698.30/L vs. 9993.58±3287.02/L, p&lt;0.001) with thrombocytopenia (317666.66±104715.05/L vs. 468050.00±221943.75/L, p&lt;0.001). CRP was markedly elevated in cases (45.06±44.31 mg/L vs. 3.60±8.58 mg/L, p&lt;0.001). Hypoproteinemia and hypoalbuminemia were observed in pneumonia patients (p&lt;0.001 and p=0.004, respectively).</w:t>
      </w:r>
    </w:p>
    <w:p w14:paraId="0A528FAF">
      <w:pPr>
        <w:spacing w:before="100" w:beforeAutospacing="1" w:after="100" w:afterAutospacing="1"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Among non-classic biomarkers, Neutrophil CD64-FITC expression and CD64 ratios (neutrophil-to-monocyte and neutrophil-to-lymphocyte) were significantly higher in cases (all p&lt;0.001). Nearly half of pneumonia cases required ICU admission (46.7%), with 41.6% requiring mechanical ventilation and 6.7% mortality.</w:t>
      </w:r>
    </w:p>
    <w:p w14:paraId="1C5EDB68">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Table 1. Demographic, Clinical Characteristics, Laboratory Parameters</w:t>
      </w:r>
      <w:r>
        <w:rPr>
          <w:lang w:val="en-US"/>
        </w:rPr>
        <w:t xml:space="preserve"> </w:t>
      </w:r>
      <w:r>
        <w:rPr>
          <w:rFonts w:ascii="Times New Roman" w:hAnsi="Times New Roman" w:eastAsia="Times New Roman" w:cs="Times New Roman"/>
          <w:b/>
          <w:bCs/>
          <w:sz w:val="24"/>
          <w:szCs w:val="24"/>
          <w:lang w:val="en-US"/>
        </w:rPr>
        <w:t>and Non-Classic Biomarkers among Pediatric Pneumonia Cases and Controls</w:t>
      </w:r>
    </w:p>
    <w:tbl>
      <w:tblPr>
        <w:tblStyle w:val="8"/>
        <w:tblW w:w="0" w:type="auto"/>
        <w:tblCellSpacing w:w="15" w:type="dxa"/>
        <w:tblInd w:w="0" w:type="dxa"/>
        <w:tblLayout w:type="autofit"/>
        <w:tblCellMar>
          <w:top w:w="15" w:type="dxa"/>
          <w:left w:w="15" w:type="dxa"/>
          <w:bottom w:w="15" w:type="dxa"/>
          <w:right w:w="15" w:type="dxa"/>
        </w:tblCellMar>
      </w:tblPr>
      <w:tblGrid>
        <w:gridCol w:w="3321"/>
        <w:gridCol w:w="2690"/>
        <w:gridCol w:w="2477"/>
        <w:gridCol w:w="30"/>
        <w:gridCol w:w="872"/>
      </w:tblGrid>
      <w:tr w14:paraId="491322E1">
        <w:tblPrEx>
          <w:tblCellMar>
            <w:top w:w="15" w:type="dxa"/>
            <w:left w:w="15" w:type="dxa"/>
            <w:bottom w:w="15" w:type="dxa"/>
            <w:right w:w="15" w:type="dxa"/>
          </w:tblCellMar>
        </w:tblPrEx>
        <w:trPr>
          <w:tblCellSpacing w:w="15" w:type="dxa"/>
        </w:trPr>
        <w:tc>
          <w:tcPr>
            <w:tcW w:w="3276" w:type="dxa"/>
            <w:tcBorders>
              <w:top w:val="single" w:color="auto" w:sz="18" w:space="0"/>
              <w:bottom w:val="single" w:color="auto" w:sz="18" w:space="0"/>
            </w:tcBorders>
            <w:vAlign w:val="center"/>
          </w:tcPr>
          <w:p w14:paraId="7E13EC69">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Characteristic</w:t>
            </w:r>
          </w:p>
        </w:tc>
        <w:tc>
          <w:tcPr>
            <w:tcW w:w="2660" w:type="dxa"/>
            <w:tcBorders>
              <w:top w:val="single" w:color="auto" w:sz="18" w:space="0"/>
              <w:bottom w:val="single" w:color="auto" w:sz="18" w:space="0"/>
            </w:tcBorders>
            <w:vAlign w:val="center"/>
          </w:tcPr>
          <w:p w14:paraId="5D616ADC">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Controls (n=60)</w:t>
            </w:r>
          </w:p>
        </w:tc>
        <w:tc>
          <w:tcPr>
            <w:tcW w:w="2447" w:type="dxa"/>
            <w:tcBorders>
              <w:top w:val="single" w:color="auto" w:sz="18" w:space="0"/>
              <w:bottom w:val="single" w:color="auto" w:sz="18" w:space="0"/>
            </w:tcBorders>
            <w:vAlign w:val="center"/>
          </w:tcPr>
          <w:p w14:paraId="7D4D575B">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Cases (n=60)</w:t>
            </w:r>
          </w:p>
        </w:tc>
        <w:tc>
          <w:tcPr>
            <w:tcW w:w="0" w:type="auto"/>
            <w:gridSpan w:val="2"/>
            <w:tcBorders>
              <w:top w:val="single" w:color="auto" w:sz="18" w:space="0"/>
              <w:bottom w:val="single" w:color="auto" w:sz="18" w:space="0"/>
            </w:tcBorders>
            <w:vAlign w:val="center"/>
          </w:tcPr>
          <w:p w14:paraId="1B1D2B4E">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p-value</w:t>
            </w:r>
          </w:p>
        </w:tc>
      </w:tr>
      <w:tr w14:paraId="2CA4956A">
        <w:tblPrEx>
          <w:tblCellMar>
            <w:top w:w="15" w:type="dxa"/>
            <w:left w:w="15" w:type="dxa"/>
            <w:bottom w:w="15" w:type="dxa"/>
            <w:right w:w="15" w:type="dxa"/>
          </w:tblCellMar>
        </w:tblPrEx>
        <w:trPr>
          <w:tblCellSpacing w:w="15" w:type="dxa"/>
        </w:trPr>
        <w:tc>
          <w:tcPr>
            <w:tcW w:w="3276" w:type="dxa"/>
            <w:vAlign w:val="center"/>
          </w:tcPr>
          <w:p w14:paraId="7E2DFFE1">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Demographic characteristics</w:t>
            </w:r>
          </w:p>
        </w:tc>
        <w:tc>
          <w:tcPr>
            <w:tcW w:w="2660" w:type="dxa"/>
            <w:vAlign w:val="center"/>
          </w:tcPr>
          <w:p w14:paraId="45BE5B64">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32C4E086">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45E63C50">
            <w:pPr>
              <w:spacing w:after="0" w:line="240" w:lineRule="auto"/>
              <w:jc w:val="center"/>
              <w:rPr>
                <w:rFonts w:ascii="Times New Roman" w:hAnsi="Times New Roman" w:eastAsia="Times New Roman" w:cs="Times New Roman"/>
                <w:sz w:val="20"/>
                <w:szCs w:val="20"/>
                <w:lang w:val="en-US"/>
              </w:rPr>
            </w:pPr>
          </w:p>
        </w:tc>
      </w:tr>
      <w:tr w14:paraId="11835DB4">
        <w:tblPrEx>
          <w:tblCellMar>
            <w:top w:w="15" w:type="dxa"/>
            <w:left w:w="15" w:type="dxa"/>
            <w:bottom w:w="15" w:type="dxa"/>
            <w:right w:w="15" w:type="dxa"/>
          </w:tblCellMar>
        </w:tblPrEx>
        <w:trPr>
          <w:tblCellSpacing w:w="15" w:type="dxa"/>
        </w:trPr>
        <w:tc>
          <w:tcPr>
            <w:tcW w:w="3276" w:type="dxa"/>
            <w:vAlign w:val="center"/>
          </w:tcPr>
          <w:p w14:paraId="4104E0D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Gender, n (%)</w:t>
            </w:r>
          </w:p>
        </w:tc>
        <w:tc>
          <w:tcPr>
            <w:tcW w:w="2660" w:type="dxa"/>
            <w:vAlign w:val="center"/>
          </w:tcPr>
          <w:p w14:paraId="73338AEC">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1B657D9E">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1F90CFD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0.202</w:t>
            </w:r>
          </w:p>
        </w:tc>
      </w:tr>
      <w:tr w14:paraId="3CDBAB59">
        <w:tblPrEx>
          <w:tblCellMar>
            <w:top w:w="15" w:type="dxa"/>
            <w:left w:w="15" w:type="dxa"/>
            <w:bottom w:w="15" w:type="dxa"/>
            <w:right w:w="15" w:type="dxa"/>
          </w:tblCellMar>
        </w:tblPrEx>
        <w:trPr>
          <w:tblCellSpacing w:w="15" w:type="dxa"/>
        </w:trPr>
        <w:tc>
          <w:tcPr>
            <w:tcW w:w="3276" w:type="dxa"/>
            <w:vAlign w:val="center"/>
          </w:tcPr>
          <w:p w14:paraId="77AE850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Male</w:t>
            </w:r>
          </w:p>
        </w:tc>
        <w:tc>
          <w:tcPr>
            <w:tcW w:w="2660" w:type="dxa"/>
            <w:vAlign w:val="center"/>
          </w:tcPr>
          <w:p w14:paraId="7D313D3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42 (70.0)</w:t>
            </w:r>
          </w:p>
        </w:tc>
        <w:tc>
          <w:tcPr>
            <w:tcW w:w="2447" w:type="dxa"/>
            <w:vAlign w:val="center"/>
          </w:tcPr>
          <w:p w14:paraId="65058C1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47 (78.3)</w:t>
            </w:r>
          </w:p>
        </w:tc>
        <w:tc>
          <w:tcPr>
            <w:tcW w:w="0" w:type="auto"/>
            <w:gridSpan w:val="2"/>
            <w:vAlign w:val="center"/>
          </w:tcPr>
          <w:p w14:paraId="20DC41F9">
            <w:pPr>
              <w:spacing w:after="0" w:line="240" w:lineRule="auto"/>
              <w:jc w:val="center"/>
              <w:rPr>
                <w:rFonts w:ascii="Times New Roman" w:hAnsi="Times New Roman" w:eastAsia="Times New Roman" w:cs="Times New Roman"/>
                <w:sz w:val="24"/>
                <w:szCs w:val="24"/>
                <w:lang w:val="en-US"/>
              </w:rPr>
            </w:pPr>
          </w:p>
        </w:tc>
      </w:tr>
      <w:tr w14:paraId="5FD7CA43">
        <w:tblPrEx>
          <w:tblCellMar>
            <w:top w:w="15" w:type="dxa"/>
            <w:left w:w="15" w:type="dxa"/>
            <w:bottom w:w="15" w:type="dxa"/>
            <w:right w:w="15" w:type="dxa"/>
          </w:tblCellMar>
        </w:tblPrEx>
        <w:trPr>
          <w:tblCellSpacing w:w="15" w:type="dxa"/>
        </w:trPr>
        <w:tc>
          <w:tcPr>
            <w:tcW w:w="3276" w:type="dxa"/>
            <w:vAlign w:val="center"/>
          </w:tcPr>
          <w:p w14:paraId="52495085">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Female</w:t>
            </w:r>
          </w:p>
        </w:tc>
        <w:tc>
          <w:tcPr>
            <w:tcW w:w="2660" w:type="dxa"/>
            <w:vAlign w:val="center"/>
          </w:tcPr>
          <w:p w14:paraId="61A2DA5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18 (30.0)</w:t>
            </w:r>
          </w:p>
        </w:tc>
        <w:tc>
          <w:tcPr>
            <w:tcW w:w="2447" w:type="dxa"/>
            <w:vAlign w:val="center"/>
          </w:tcPr>
          <w:p w14:paraId="3F9EA47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13 (21.7)</w:t>
            </w:r>
          </w:p>
        </w:tc>
        <w:tc>
          <w:tcPr>
            <w:tcW w:w="0" w:type="auto"/>
            <w:gridSpan w:val="2"/>
            <w:vAlign w:val="center"/>
          </w:tcPr>
          <w:p w14:paraId="4417CB1C">
            <w:pPr>
              <w:spacing w:after="0" w:line="240" w:lineRule="auto"/>
              <w:jc w:val="center"/>
              <w:rPr>
                <w:rFonts w:ascii="Times New Roman" w:hAnsi="Times New Roman" w:eastAsia="Times New Roman" w:cs="Times New Roman"/>
                <w:sz w:val="24"/>
                <w:szCs w:val="24"/>
                <w:lang w:val="en-US"/>
              </w:rPr>
            </w:pPr>
          </w:p>
        </w:tc>
      </w:tr>
      <w:tr w14:paraId="6A8AE79B">
        <w:tblPrEx>
          <w:tblCellMar>
            <w:top w:w="15" w:type="dxa"/>
            <w:left w:w="15" w:type="dxa"/>
            <w:bottom w:w="15" w:type="dxa"/>
            <w:right w:w="15" w:type="dxa"/>
          </w:tblCellMar>
        </w:tblPrEx>
        <w:trPr>
          <w:tblCellSpacing w:w="15" w:type="dxa"/>
        </w:trPr>
        <w:tc>
          <w:tcPr>
            <w:tcW w:w="3276" w:type="dxa"/>
            <w:vAlign w:val="center"/>
          </w:tcPr>
          <w:p w14:paraId="7477450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Age in months</w:t>
            </w:r>
            <w:r>
              <w:rPr>
                <w:rFonts w:ascii="Times New Roman" w:hAnsi="Times New Roman" w:eastAsia="Times New Roman" w:cs="Times New Roman"/>
                <w:sz w:val="24"/>
                <w:szCs w:val="24"/>
                <w:lang w:val="en-US"/>
              </w:rPr>
              <w:t>, mean ± SD</w:t>
            </w:r>
          </w:p>
        </w:tc>
        <w:tc>
          <w:tcPr>
            <w:tcW w:w="2660" w:type="dxa"/>
            <w:vAlign w:val="center"/>
          </w:tcPr>
          <w:p w14:paraId="1EA1065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38.13 ± 10.96</w:t>
            </w:r>
          </w:p>
        </w:tc>
        <w:tc>
          <w:tcPr>
            <w:tcW w:w="2447" w:type="dxa"/>
            <w:vAlign w:val="center"/>
          </w:tcPr>
          <w:p w14:paraId="227C68B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37.27 ± 11.49</w:t>
            </w:r>
          </w:p>
        </w:tc>
        <w:tc>
          <w:tcPr>
            <w:tcW w:w="0" w:type="auto"/>
            <w:gridSpan w:val="2"/>
            <w:vAlign w:val="center"/>
          </w:tcPr>
          <w:p w14:paraId="19C9B75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0.676</w:t>
            </w:r>
          </w:p>
        </w:tc>
      </w:tr>
      <w:tr w14:paraId="61F604D1">
        <w:tblPrEx>
          <w:tblCellMar>
            <w:top w:w="15" w:type="dxa"/>
            <w:left w:w="15" w:type="dxa"/>
            <w:bottom w:w="15" w:type="dxa"/>
            <w:right w:w="15" w:type="dxa"/>
          </w:tblCellMar>
        </w:tblPrEx>
        <w:trPr>
          <w:tblCellSpacing w:w="15" w:type="dxa"/>
        </w:trPr>
        <w:tc>
          <w:tcPr>
            <w:tcW w:w="3276" w:type="dxa"/>
            <w:vAlign w:val="center"/>
          </w:tcPr>
          <w:p w14:paraId="6DE41A32">
            <w:pPr>
              <w:spacing w:after="0" w:line="240" w:lineRule="auto"/>
              <w:rPr>
                <w:rFonts w:ascii="Times New Roman" w:hAnsi="Times New Roman" w:eastAsia="Times New Roman" w:cs="Times New Roman"/>
                <w:sz w:val="24"/>
                <w:szCs w:val="24"/>
                <w:highlight w:val="yellow"/>
                <w:lang w:val="en-US"/>
              </w:rPr>
            </w:pPr>
            <w:r>
              <w:rPr>
                <w:rFonts w:ascii="Times New Roman" w:hAnsi="Times New Roman" w:eastAsia="Times New Roman" w:cs="Times New Roman"/>
                <w:b/>
                <w:bCs/>
                <w:sz w:val="24"/>
                <w:szCs w:val="24"/>
                <w:highlight w:val="yellow"/>
                <w:lang w:val="en-US"/>
              </w:rPr>
              <w:t>Residence, n (%)</w:t>
            </w:r>
          </w:p>
        </w:tc>
        <w:tc>
          <w:tcPr>
            <w:tcW w:w="2660" w:type="dxa"/>
            <w:vAlign w:val="center"/>
          </w:tcPr>
          <w:p w14:paraId="62CDD7CA">
            <w:pPr>
              <w:spacing w:after="0" w:line="240" w:lineRule="auto"/>
              <w:jc w:val="center"/>
              <w:rPr>
                <w:rFonts w:ascii="Times New Roman" w:hAnsi="Times New Roman" w:eastAsia="Times New Roman" w:cs="Times New Roman"/>
                <w:sz w:val="24"/>
                <w:szCs w:val="24"/>
                <w:highlight w:val="yellow"/>
                <w:lang w:val="en-US"/>
              </w:rPr>
            </w:pPr>
          </w:p>
        </w:tc>
        <w:tc>
          <w:tcPr>
            <w:tcW w:w="2447" w:type="dxa"/>
            <w:vAlign w:val="center"/>
          </w:tcPr>
          <w:p w14:paraId="0DDC4251">
            <w:pPr>
              <w:spacing w:after="0" w:line="240" w:lineRule="auto"/>
              <w:jc w:val="center"/>
              <w:rPr>
                <w:rFonts w:ascii="Times New Roman" w:hAnsi="Times New Roman" w:eastAsia="Times New Roman" w:cs="Times New Roman"/>
                <w:sz w:val="20"/>
                <w:szCs w:val="20"/>
                <w:highlight w:val="yellow"/>
                <w:lang w:val="en-US"/>
              </w:rPr>
            </w:pPr>
          </w:p>
        </w:tc>
        <w:tc>
          <w:tcPr>
            <w:tcW w:w="0" w:type="auto"/>
            <w:gridSpan w:val="2"/>
            <w:vAlign w:val="center"/>
          </w:tcPr>
          <w:p w14:paraId="55E8E069">
            <w:pPr>
              <w:spacing w:after="0" w:line="240" w:lineRule="auto"/>
              <w:jc w:val="center"/>
              <w:rPr>
                <w:rFonts w:ascii="Times New Roman" w:hAnsi="Times New Roman" w:eastAsia="Times New Roman" w:cs="Times New Roman"/>
                <w:b/>
                <w:bCs/>
                <w:sz w:val="24"/>
                <w:szCs w:val="24"/>
                <w:highlight w:val="yellow"/>
                <w:lang w:val="en-US"/>
              </w:rPr>
            </w:pPr>
            <w:r>
              <w:rPr>
                <w:rFonts w:ascii="Times New Roman" w:hAnsi="Times New Roman" w:eastAsia="Times New Roman" w:cs="Times New Roman"/>
                <w:b/>
                <w:bCs/>
                <w:color w:val="FF0000"/>
                <w:sz w:val="24"/>
                <w:szCs w:val="24"/>
                <w:highlight w:val="yellow"/>
                <w:lang w:val="en-US"/>
              </w:rPr>
              <w:t>&lt;0.001*</w:t>
            </w:r>
          </w:p>
        </w:tc>
      </w:tr>
      <w:tr w14:paraId="5B157EC7">
        <w:tblPrEx>
          <w:tblCellMar>
            <w:top w:w="15" w:type="dxa"/>
            <w:left w:w="15" w:type="dxa"/>
            <w:bottom w:w="15" w:type="dxa"/>
            <w:right w:w="15" w:type="dxa"/>
          </w:tblCellMar>
        </w:tblPrEx>
        <w:trPr>
          <w:tblCellSpacing w:w="15" w:type="dxa"/>
        </w:trPr>
        <w:tc>
          <w:tcPr>
            <w:tcW w:w="3276" w:type="dxa"/>
            <w:vAlign w:val="center"/>
          </w:tcPr>
          <w:p w14:paraId="3623BC9D">
            <w:pPr>
              <w:spacing w:after="0" w:line="240" w:lineRule="auto"/>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Urban</w:t>
            </w:r>
          </w:p>
        </w:tc>
        <w:tc>
          <w:tcPr>
            <w:tcW w:w="2660" w:type="dxa"/>
            <w:vAlign w:val="center"/>
          </w:tcPr>
          <w:p w14:paraId="1407A216">
            <w:pPr>
              <w:spacing w:after="0" w:line="240" w:lineRule="auto"/>
              <w:jc w:val="center"/>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38 (63.0)</w:t>
            </w:r>
          </w:p>
        </w:tc>
        <w:tc>
          <w:tcPr>
            <w:tcW w:w="2447" w:type="dxa"/>
            <w:vAlign w:val="center"/>
          </w:tcPr>
          <w:p w14:paraId="03E1F1AC">
            <w:pPr>
              <w:spacing w:after="0" w:line="240" w:lineRule="auto"/>
              <w:jc w:val="center"/>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16 (27.0)</w:t>
            </w:r>
          </w:p>
        </w:tc>
        <w:tc>
          <w:tcPr>
            <w:tcW w:w="0" w:type="auto"/>
            <w:gridSpan w:val="2"/>
            <w:vAlign w:val="center"/>
          </w:tcPr>
          <w:p w14:paraId="0E01187F">
            <w:pPr>
              <w:spacing w:after="0" w:line="240" w:lineRule="auto"/>
              <w:jc w:val="center"/>
              <w:rPr>
                <w:rFonts w:ascii="Times New Roman" w:hAnsi="Times New Roman" w:eastAsia="Times New Roman" w:cs="Times New Roman"/>
                <w:sz w:val="24"/>
                <w:szCs w:val="24"/>
                <w:highlight w:val="yellow"/>
                <w:lang w:val="en-US"/>
              </w:rPr>
            </w:pPr>
          </w:p>
        </w:tc>
      </w:tr>
      <w:tr w14:paraId="065A3A6A">
        <w:tblPrEx>
          <w:tblCellMar>
            <w:top w:w="15" w:type="dxa"/>
            <w:left w:w="15" w:type="dxa"/>
            <w:bottom w:w="15" w:type="dxa"/>
            <w:right w:w="15" w:type="dxa"/>
          </w:tblCellMar>
        </w:tblPrEx>
        <w:trPr>
          <w:tblCellSpacing w:w="15" w:type="dxa"/>
        </w:trPr>
        <w:tc>
          <w:tcPr>
            <w:tcW w:w="3276" w:type="dxa"/>
            <w:vAlign w:val="center"/>
          </w:tcPr>
          <w:p w14:paraId="62AD6C70">
            <w:pPr>
              <w:spacing w:after="0" w:line="240" w:lineRule="auto"/>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Rural</w:t>
            </w:r>
          </w:p>
        </w:tc>
        <w:tc>
          <w:tcPr>
            <w:tcW w:w="2660" w:type="dxa"/>
            <w:vAlign w:val="center"/>
          </w:tcPr>
          <w:p w14:paraId="3225DDDA">
            <w:pPr>
              <w:spacing w:after="0" w:line="240" w:lineRule="auto"/>
              <w:jc w:val="center"/>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22 (37.0)</w:t>
            </w:r>
          </w:p>
        </w:tc>
        <w:tc>
          <w:tcPr>
            <w:tcW w:w="2447" w:type="dxa"/>
            <w:vAlign w:val="center"/>
          </w:tcPr>
          <w:p w14:paraId="71BCD3E0">
            <w:pPr>
              <w:spacing w:after="0" w:line="240" w:lineRule="auto"/>
              <w:jc w:val="center"/>
              <w:rPr>
                <w:rFonts w:ascii="Times New Roman" w:hAnsi="Times New Roman" w:eastAsia="Times New Roman" w:cs="Times New Roman"/>
                <w:sz w:val="24"/>
                <w:szCs w:val="24"/>
                <w:highlight w:val="yellow"/>
                <w:lang w:val="en-US"/>
              </w:rPr>
            </w:pPr>
            <w:r>
              <w:rPr>
                <w:rFonts w:ascii="Times New Roman" w:hAnsi="Times New Roman" w:eastAsia="Times New Roman" w:cs="Times New Roman"/>
                <w:sz w:val="24"/>
                <w:szCs w:val="24"/>
                <w:highlight w:val="yellow"/>
                <w:lang w:val="en-US"/>
              </w:rPr>
              <w:t>44 (73.0)</w:t>
            </w:r>
          </w:p>
        </w:tc>
        <w:tc>
          <w:tcPr>
            <w:tcW w:w="0" w:type="auto"/>
            <w:gridSpan w:val="2"/>
            <w:vAlign w:val="center"/>
          </w:tcPr>
          <w:p w14:paraId="741936DA">
            <w:pPr>
              <w:spacing w:after="0" w:line="240" w:lineRule="auto"/>
              <w:jc w:val="center"/>
              <w:rPr>
                <w:rFonts w:ascii="Times New Roman" w:hAnsi="Times New Roman" w:eastAsia="Times New Roman" w:cs="Times New Roman"/>
                <w:sz w:val="24"/>
                <w:szCs w:val="24"/>
                <w:highlight w:val="yellow"/>
                <w:lang w:val="en-US"/>
              </w:rPr>
            </w:pPr>
          </w:p>
        </w:tc>
      </w:tr>
      <w:tr w14:paraId="4CE96284">
        <w:tblPrEx>
          <w:tblCellMar>
            <w:top w:w="15" w:type="dxa"/>
            <w:left w:w="15" w:type="dxa"/>
            <w:bottom w:w="15" w:type="dxa"/>
            <w:right w:w="15" w:type="dxa"/>
          </w:tblCellMar>
        </w:tblPrEx>
        <w:trPr>
          <w:tblCellSpacing w:w="15" w:type="dxa"/>
        </w:trPr>
        <w:tc>
          <w:tcPr>
            <w:tcW w:w="3276" w:type="dxa"/>
            <w:vAlign w:val="center"/>
          </w:tcPr>
          <w:p w14:paraId="4E7FB9A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Nutritional history, n (%)</w:t>
            </w:r>
          </w:p>
        </w:tc>
        <w:tc>
          <w:tcPr>
            <w:tcW w:w="2660" w:type="dxa"/>
            <w:vAlign w:val="center"/>
          </w:tcPr>
          <w:p w14:paraId="1502A1B3">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21021BEF">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68F6535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0.662</w:t>
            </w:r>
          </w:p>
        </w:tc>
      </w:tr>
      <w:tr w14:paraId="2DA57AEC">
        <w:tblPrEx>
          <w:tblCellMar>
            <w:top w:w="15" w:type="dxa"/>
            <w:left w:w="15" w:type="dxa"/>
            <w:bottom w:w="15" w:type="dxa"/>
            <w:right w:w="15" w:type="dxa"/>
          </w:tblCellMar>
        </w:tblPrEx>
        <w:trPr>
          <w:tblCellSpacing w:w="15" w:type="dxa"/>
        </w:trPr>
        <w:tc>
          <w:tcPr>
            <w:tcW w:w="3276" w:type="dxa"/>
            <w:vAlign w:val="center"/>
          </w:tcPr>
          <w:p w14:paraId="3075373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Breast feeding</w:t>
            </w:r>
          </w:p>
        </w:tc>
        <w:tc>
          <w:tcPr>
            <w:tcW w:w="2660" w:type="dxa"/>
            <w:vAlign w:val="center"/>
          </w:tcPr>
          <w:p w14:paraId="1BD4544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37 (61.6)</w:t>
            </w:r>
          </w:p>
        </w:tc>
        <w:tc>
          <w:tcPr>
            <w:tcW w:w="2447" w:type="dxa"/>
            <w:vAlign w:val="center"/>
          </w:tcPr>
          <w:p w14:paraId="3BB322E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36 (60.0)</w:t>
            </w:r>
          </w:p>
        </w:tc>
        <w:tc>
          <w:tcPr>
            <w:tcW w:w="0" w:type="auto"/>
            <w:gridSpan w:val="2"/>
            <w:vAlign w:val="center"/>
          </w:tcPr>
          <w:p w14:paraId="624FE232">
            <w:pPr>
              <w:spacing w:after="0" w:line="240" w:lineRule="auto"/>
              <w:jc w:val="center"/>
              <w:rPr>
                <w:rFonts w:ascii="Times New Roman" w:hAnsi="Times New Roman" w:eastAsia="Times New Roman" w:cs="Times New Roman"/>
                <w:sz w:val="24"/>
                <w:szCs w:val="24"/>
                <w:lang w:val="en-US"/>
              </w:rPr>
            </w:pPr>
          </w:p>
        </w:tc>
      </w:tr>
      <w:tr w14:paraId="047655CD">
        <w:tblPrEx>
          <w:tblCellMar>
            <w:top w:w="15" w:type="dxa"/>
            <w:left w:w="15" w:type="dxa"/>
            <w:bottom w:w="15" w:type="dxa"/>
            <w:right w:w="15" w:type="dxa"/>
          </w:tblCellMar>
        </w:tblPrEx>
        <w:trPr>
          <w:tblCellSpacing w:w="15" w:type="dxa"/>
        </w:trPr>
        <w:tc>
          <w:tcPr>
            <w:tcW w:w="3276" w:type="dxa"/>
            <w:vAlign w:val="center"/>
          </w:tcPr>
          <w:p w14:paraId="406972A5">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Artificial</w:t>
            </w:r>
          </w:p>
        </w:tc>
        <w:tc>
          <w:tcPr>
            <w:tcW w:w="2660" w:type="dxa"/>
            <w:vAlign w:val="center"/>
          </w:tcPr>
          <w:p w14:paraId="286005A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18 (30.0)</w:t>
            </w:r>
          </w:p>
        </w:tc>
        <w:tc>
          <w:tcPr>
            <w:tcW w:w="2447" w:type="dxa"/>
            <w:vAlign w:val="center"/>
          </w:tcPr>
          <w:p w14:paraId="06C585C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16 (26.6)</w:t>
            </w:r>
          </w:p>
        </w:tc>
        <w:tc>
          <w:tcPr>
            <w:tcW w:w="0" w:type="auto"/>
            <w:gridSpan w:val="2"/>
            <w:vAlign w:val="center"/>
          </w:tcPr>
          <w:p w14:paraId="62A8E56C">
            <w:pPr>
              <w:spacing w:after="0" w:line="240" w:lineRule="auto"/>
              <w:jc w:val="center"/>
              <w:rPr>
                <w:rFonts w:ascii="Times New Roman" w:hAnsi="Times New Roman" w:eastAsia="Times New Roman" w:cs="Times New Roman"/>
                <w:sz w:val="24"/>
                <w:szCs w:val="24"/>
                <w:lang w:val="en-US"/>
              </w:rPr>
            </w:pPr>
          </w:p>
        </w:tc>
      </w:tr>
      <w:tr w14:paraId="412C5FFA">
        <w:tblPrEx>
          <w:tblCellMar>
            <w:top w:w="15" w:type="dxa"/>
            <w:left w:w="15" w:type="dxa"/>
            <w:bottom w:w="15" w:type="dxa"/>
            <w:right w:w="15" w:type="dxa"/>
          </w:tblCellMar>
        </w:tblPrEx>
        <w:trPr>
          <w:tblCellSpacing w:w="15" w:type="dxa"/>
        </w:trPr>
        <w:tc>
          <w:tcPr>
            <w:tcW w:w="3276" w:type="dxa"/>
            <w:vAlign w:val="center"/>
          </w:tcPr>
          <w:p w14:paraId="4AC64CB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Mixed</w:t>
            </w:r>
          </w:p>
        </w:tc>
        <w:tc>
          <w:tcPr>
            <w:tcW w:w="2660" w:type="dxa"/>
            <w:vAlign w:val="center"/>
          </w:tcPr>
          <w:p w14:paraId="347A385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 (8.4)</w:t>
            </w:r>
          </w:p>
        </w:tc>
        <w:tc>
          <w:tcPr>
            <w:tcW w:w="2447" w:type="dxa"/>
            <w:vAlign w:val="center"/>
          </w:tcPr>
          <w:p w14:paraId="4FD020F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 (13.4)</w:t>
            </w:r>
          </w:p>
        </w:tc>
        <w:tc>
          <w:tcPr>
            <w:tcW w:w="0" w:type="auto"/>
            <w:gridSpan w:val="2"/>
            <w:vAlign w:val="center"/>
          </w:tcPr>
          <w:p w14:paraId="7E8EA3BC">
            <w:pPr>
              <w:spacing w:after="0" w:line="240" w:lineRule="auto"/>
              <w:jc w:val="center"/>
              <w:rPr>
                <w:rFonts w:ascii="Times New Roman" w:hAnsi="Times New Roman" w:eastAsia="Times New Roman" w:cs="Times New Roman"/>
                <w:sz w:val="24"/>
                <w:szCs w:val="24"/>
                <w:lang w:val="en-US"/>
              </w:rPr>
            </w:pPr>
          </w:p>
        </w:tc>
      </w:tr>
      <w:tr w14:paraId="22BFC9E7">
        <w:tblPrEx>
          <w:tblCellMar>
            <w:top w:w="15" w:type="dxa"/>
            <w:left w:w="15" w:type="dxa"/>
            <w:bottom w:w="15" w:type="dxa"/>
            <w:right w:w="15" w:type="dxa"/>
          </w:tblCellMar>
        </w:tblPrEx>
        <w:trPr>
          <w:tblCellSpacing w:w="15" w:type="dxa"/>
        </w:trPr>
        <w:tc>
          <w:tcPr>
            <w:tcW w:w="3276" w:type="dxa"/>
            <w:vAlign w:val="center"/>
          </w:tcPr>
          <w:p w14:paraId="5E6ADD4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Vitamin supplementation, n (%)</w:t>
            </w:r>
          </w:p>
        </w:tc>
        <w:tc>
          <w:tcPr>
            <w:tcW w:w="2660" w:type="dxa"/>
            <w:vAlign w:val="center"/>
          </w:tcPr>
          <w:p w14:paraId="44B6BB83">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31447392">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2A127FDB">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color w:val="FF0000"/>
                <w:sz w:val="24"/>
                <w:szCs w:val="24"/>
                <w:lang w:val="en-US"/>
              </w:rPr>
              <w:t>0.002*</w:t>
            </w:r>
          </w:p>
        </w:tc>
      </w:tr>
      <w:tr w14:paraId="1BDD4320">
        <w:tblPrEx>
          <w:tblCellMar>
            <w:top w:w="15" w:type="dxa"/>
            <w:left w:w="15" w:type="dxa"/>
            <w:bottom w:w="15" w:type="dxa"/>
            <w:right w:w="15" w:type="dxa"/>
          </w:tblCellMar>
        </w:tblPrEx>
        <w:trPr>
          <w:tblCellSpacing w:w="15" w:type="dxa"/>
        </w:trPr>
        <w:tc>
          <w:tcPr>
            <w:tcW w:w="3276" w:type="dxa"/>
            <w:vAlign w:val="center"/>
          </w:tcPr>
          <w:p w14:paraId="32B1787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Yes</w:t>
            </w:r>
          </w:p>
        </w:tc>
        <w:tc>
          <w:tcPr>
            <w:tcW w:w="2660" w:type="dxa"/>
            <w:vAlign w:val="center"/>
          </w:tcPr>
          <w:p w14:paraId="5D68178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44 (73.0)</w:t>
            </w:r>
          </w:p>
        </w:tc>
        <w:tc>
          <w:tcPr>
            <w:tcW w:w="2447" w:type="dxa"/>
            <w:vAlign w:val="center"/>
          </w:tcPr>
          <w:p w14:paraId="7D5B276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28 (46.6)</w:t>
            </w:r>
          </w:p>
        </w:tc>
        <w:tc>
          <w:tcPr>
            <w:tcW w:w="0" w:type="auto"/>
            <w:gridSpan w:val="2"/>
            <w:vAlign w:val="center"/>
          </w:tcPr>
          <w:p w14:paraId="2D045FD5">
            <w:pPr>
              <w:spacing w:after="0" w:line="240" w:lineRule="auto"/>
              <w:jc w:val="center"/>
              <w:rPr>
                <w:rFonts w:ascii="Times New Roman" w:hAnsi="Times New Roman" w:eastAsia="Times New Roman" w:cs="Times New Roman"/>
                <w:sz w:val="24"/>
                <w:szCs w:val="24"/>
                <w:lang w:val="en-US"/>
              </w:rPr>
            </w:pPr>
          </w:p>
        </w:tc>
      </w:tr>
      <w:tr w14:paraId="3D272B36">
        <w:tblPrEx>
          <w:tblCellMar>
            <w:top w:w="15" w:type="dxa"/>
            <w:left w:w="15" w:type="dxa"/>
            <w:bottom w:w="15" w:type="dxa"/>
            <w:right w:w="15" w:type="dxa"/>
          </w:tblCellMar>
        </w:tblPrEx>
        <w:trPr>
          <w:tblCellSpacing w:w="15" w:type="dxa"/>
        </w:trPr>
        <w:tc>
          <w:tcPr>
            <w:tcW w:w="3276" w:type="dxa"/>
            <w:vAlign w:val="center"/>
          </w:tcPr>
          <w:p w14:paraId="1264E6D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No</w:t>
            </w:r>
          </w:p>
        </w:tc>
        <w:tc>
          <w:tcPr>
            <w:tcW w:w="2660" w:type="dxa"/>
            <w:vAlign w:val="center"/>
          </w:tcPr>
          <w:p w14:paraId="43F7784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16 (27.0)</w:t>
            </w:r>
          </w:p>
        </w:tc>
        <w:tc>
          <w:tcPr>
            <w:tcW w:w="2447" w:type="dxa"/>
            <w:vAlign w:val="center"/>
          </w:tcPr>
          <w:p w14:paraId="07CE16E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32 (53.4)</w:t>
            </w:r>
          </w:p>
        </w:tc>
        <w:tc>
          <w:tcPr>
            <w:tcW w:w="0" w:type="auto"/>
            <w:gridSpan w:val="2"/>
            <w:vAlign w:val="center"/>
          </w:tcPr>
          <w:p w14:paraId="08519754">
            <w:pPr>
              <w:spacing w:after="0" w:line="240" w:lineRule="auto"/>
              <w:jc w:val="center"/>
              <w:rPr>
                <w:rFonts w:ascii="Times New Roman" w:hAnsi="Times New Roman" w:eastAsia="Times New Roman" w:cs="Times New Roman"/>
                <w:sz w:val="24"/>
                <w:szCs w:val="24"/>
                <w:lang w:val="en-US"/>
              </w:rPr>
            </w:pPr>
          </w:p>
        </w:tc>
      </w:tr>
      <w:tr w14:paraId="558F6D63">
        <w:tblPrEx>
          <w:tblCellMar>
            <w:top w:w="15" w:type="dxa"/>
            <w:left w:w="15" w:type="dxa"/>
            <w:bottom w:w="15" w:type="dxa"/>
            <w:right w:w="15" w:type="dxa"/>
          </w:tblCellMar>
        </w:tblPrEx>
        <w:trPr>
          <w:tblCellSpacing w:w="15" w:type="dxa"/>
        </w:trPr>
        <w:tc>
          <w:tcPr>
            <w:tcW w:w="3276" w:type="dxa"/>
            <w:vAlign w:val="center"/>
          </w:tcPr>
          <w:p w14:paraId="22B18B3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Anthropometric measurements</w:t>
            </w:r>
            <w:r>
              <w:rPr>
                <w:rFonts w:ascii="Times New Roman" w:hAnsi="Times New Roman" w:eastAsia="Times New Roman" w:cs="Times New Roman"/>
                <w:sz w:val="24"/>
                <w:szCs w:val="24"/>
                <w:lang w:val="en-US"/>
              </w:rPr>
              <w:t>, mean ± SD</w:t>
            </w:r>
          </w:p>
        </w:tc>
        <w:tc>
          <w:tcPr>
            <w:tcW w:w="2660" w:type="dxa"/>
            <w:vAlign w:val="center"/>
          </w:tcPr>
          <w:p w14:paraId="1036733B">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13EF6565">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621187B1">
            <w:pPr>
              <w:spacing w:after="0" w:line="240" w:lineRule="auto"/>
              <w:jc w:val="center"/>
              <w:rPr>
                <w:rFonts w:ascii="Times New Roman" w:hAnsi="Times New Roman" w:eastAsia="Times New Roman" w:cs="Times New Roman"/>
                <w:sz w:val="20"/>
                <w:szCs w:val="20"/>
                <w:lang w:val="en-US"/>
              </w:rPr>
            </w:pPr>
          </w:p>
        </w:tc>
      </w:tr>
      <w:tr w14:paraId="468DB65D">
        <w:tblPrEx>
          <w:tblCellMar>
            <w:top w:w="15" w:type="dxa"/>
            <w:left w:w="15" w:type="dxa"/>
            <w:bottom w:w="15" w:type="dxa"/>
            <w:right w:w="15" w:type="dxa"/>
          </w:tblCellMar>
        </w:tblPrEx>
        <w:trPr>
          <w:tblCellSpacing w:w="15" w:type="dxa"/>
        </w:trPr>
        <w:tc>
          <w:tcPr>
            <w:tcW w:w="3276" w:type="dxa"/>
            <w:vAlign w:val="center"/>
          </w:tcPr>
          <w:p w14:paraId="7A6451D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Weight (kg)</w:t>
            </w:r>
          </w:p>
        </w:tc>
        <w:tc>
          <w:tcPr>
            <w:tcW w:w="2660" w:type="dxa"/>
            <w:vAlign w:val="center"/>
          </w:tcPr>
          <w:p w14:paraId="75A5A8D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15.82 ± 2.74</w:t>
            </w:r>
          </w:p>
        </w:tc>
        <w:tc>
          <w:tcPr>
            <w:tcW w:w="2447" w:type="dxa"/>
            <w:vAlign w:val="center"/>
          </w:tcPr>
          <w:p w14:paraId="6F4BD97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15.33 ± 2.82</w:t>
            </w:r>
          </w:p>
        </w:tc>
        <w:tc>
          <w:tcPr>
            <w:tcW w:w="0" w:type="auto"/>
            <w:gridSpan w:val="2"/>
            <w:vAlign w:val="center"/>
          </w:tcPr>
          <w:p w14:paraId="4BE2601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0.335</w:t>
            </w:r>
          </w:p>
        </w:tc>
      </w:tr>
      <w:tr w14:paraId="171886C6">
        <w:tblPrEx>
          <w:tblCellMar>
            <w:top w:w="15" w:type="dxa"/>
            <w:left w:w="15" w:type="dxa"/>
            <w:bottom w:w="15" w:type="dxa"/>
            <w:right w:w="15" w:type="dxa"/>
          </w:tblCellMar>
        </w:tblPrEx>
        <w:trPr>
          <w:tblCellSpacing w:w="15" w:type="dxa"/>
        </w:trPr>
        <w:tc>
          <w:tcPr>
            <w:tcW w:w="3276" w:type="dxa"/>
            <w:vAlign w:val="center"/>
          </w:tcPr>
          <w:p w14:paraId="4599DD5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Length (m)</w:t>
            </w:r>
          </w:p>
        </w:tc>
        <w:tc>
          <w:tcPr>
            <w:tcW w:w="2660" w:type="dxa"/>
            <w:vAlign w:val="center"/>
          </w:tcPr>
          <w:p w14:paraId="3ACDE88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0.88 ± 0.074</w:t>
            </w:r>
          </w:p>
        </w:tc>
        <w:tc>
          <w:tcPr>
            <w:tcW w:w="2447" w:type="dxa"/>
            <w:vAlign w:val="center"/>
          </w:tcPr>
          <w:p w14:paraId="085DDE7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0.87 ± 0.084</w:t>
            </w:r>
          </w:p>
        </w:tc>
        <w:tc>
          <w:tcPr>
            <w:tcW w:w="0" w:type="auto"/>
            <w:gridSpan w:val="2"/>
            <w:vAlign w:val="center"/>
          </w:tcPr>
          <w:p w14:paraId="142CD5F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0.341</w:t>
            </w:r>
          </w:p>
        </w:tc>
      </w:tr>
      <w:tr w14:paraId="270DE08B">
        <w:tblPrEx>
          <w:tblCellMar>
            <w:top w:w="15" w:type="dxa"/>
            <w:left w:w="15" w:type="dxa"/>
            <w:bottom w:w="15" w:type="dxa"/>
            <w:right w:w="15" w:type="dxa"/>
          </w:tblCellMar>
        </w:tblPrEx>
        <w:trPr>
          <w:tblCellSpacing w:w="15" w:type="dxa"/>
        </w:trPr>
        <w:tc>
          <w:tcPr>
            <w:tcW w:w="3276" w:type="dxa"/>
            <w:vAlign w:val="center"/>
          </w:tcPr>
          <w:p w14:paraId="22F715F3">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Body mass index</w:t>
            </w:r>
          </w:p>
        </w:tc>
        <w:tc>
          <w:tcPr>
            <w:tcW w:w="2660" w:type="dxa"/>
            <w:vAlign w:val="center"/>
          </w:tcPr>
          <w:p w14:paraId="7C11D1B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20.11 ± 1.59</w:t>
            </w:r>
          </w:p>
        </w:tc>
        <w:tc>
          <w:tcPr>
            <w:tcW w:w="2447" w:type="dxa"/>
            <w:vAlign w:val="center"/>
          </w:tcPr>
          <w:p w14:paraId="52A7031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20.14 ± 1.89</w:t>
            </w:r>
          </w:p>
        </w:tc>
        <w:tc>
          <w:tcPr>
            <w:tcW w:w="0" w:type="auto"/>
            <w:gridSpan w:val="2"/>
            <w:vAlign w:val="center"/>
          </w:tcPr>
          <w:p w14:paraId="6C2D75D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0.902</w:t>
            </w:r>
          </w:p>
        </w:tc>
      </w:tr>
      <w:tr w14:paraId="3A67FD6B">
        <w:tblPrEx>
          <w:tblCellMar>
            <w:top w:w="15" w:type="dxa"/>
            <w:left w:w="15" w:type="dxa"/>
            <w:bottom w:w="15" w:type="dxa"/>
            <w:right w:w="15" w:type="dxa"/>
          </w:tblCellMar>
        </w:tblPrEx>
        <w:trPr>
          <w:tblCellSpacing w:w="15" w:type="dxa"/>
        </w:trPr>
        <w:tc>
          <w:tcPr>
            <w:tcW w:w="3276" w:type="dxa"/>
            <w:vAlign w:val="center"/>
          </w:tcPr>
          <w:p w14:paraId="5A6BF3A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Vital signs</w:t>
            </w:r>
            <w:r>
              <w:rPr>
                <w:rFonts w:ascii="Times New Roman" w:hAnsi="Times New Roman" w:eastAsia="Times New Roman" w:cs="Times New Roman"/>
                <w:sz w:val="24"/>
                <w:szCs w:val="24"/>
                <w:lang w:val="en-US"/>
              </w:rPr>
              <w:t>, mean ± SD</w:t>
            </w:r>
          </w:p>
        </w:tc>
        <w:tc>
          <w:tcPr>
            <w:tcW w:w="2660" w:type="dxa"/>
            <w:vAlign w:val="center"/>
          </w:tcPr>
          <w:p w14:paraId="7A6F78F3">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21800B53">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483F2B2B">
            <w:pPr>
              <w:spacing w:after="0" w:line="240" w:lineRule="auto"/>
              <w:jc w:val="center"/>
              <w:rPr>
                <w:rFonts w:ascii="Times New Roman" w:hAnsi="Times New Roman" w:eastAsia="Times New Roman" w:cs="Times New Roman"/>
                <w:sz w:val="20"/>
                <w:szCs w:val="20"/>
                <w:lang w:val="en-US"/>
              </w:rPr>
            </w:pPr>
          </w:p>
        </w:tc>
      </w:tr>
      <w:tr w14:paraId="1F02CB94">
        <w:tblPrEx>
          <w:tblCellMar>
            <w:top w:w="15" w:type="dxa"/>
            <w:left w:w="15" w:type="dxa"/>
            <w:bottom w:w="15" w:type="dxa"/>
            <w:right w:w="15" w:type="dxa"/>
          </w:tblCellMar>
        </w:tblPrEx>
        <w:trPr>
          <w:tblCellSpacing w:w="15" w:type="dxa"/>
        </w:trPr>
        <w:tc>
          <w:tcPr>
            <w:tcW w:w="3276" w:type="dxa"/>
            <w:vAlign w:val="center"/>
          </w:tcPr>
          <w:p w14:paraId="4271C1D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Heart rate (beats/min)</w:t>
            </w:r>
          </w:p>
        </w:tc>
        <w:tc>
          <w:tcPr>
            <w:tcW w:w="2660" w:type="dxa"/>
            <w:vAlign w:val="center"/>
          </w:tcPr>
          <w:p w14:paraId="212567D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139.00 ± 9.19</w:t>
            </w:r>
          </w:p>
        </w:tc>
        <w:tc>
          <w:tcPr>
            <w:tcW w:w="2447" w:type="dxa"/>
            <w:vAlign w:val="center"/>
          </w:tcPr>
          <w:p w14:paraId="330E433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150.97 ± 25.81</w:t>
            </w:r>
          </w:p>
        </w:tc>
        <w:tc>
          <w:tcPr>
            <w:tcW w:w="0" w:type="auto"/>
            <w:gridSpan w:val="2"/>
            <w:vAlign w:val="center"/>
          </w:tcPr>
          <w:p w14:paraId="45350B64">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0.001*</w:t>
            </w:r>
          </w:p>
        </w:tc>
      </w:tr>
      <w:tr w14:paraId="429F6DCA">
        <w:tblPrEx>
          <w:tblCellMar>
            <w:top w:w="15" w:type="dxa"/>
            <w:left w:w="15" w:type="dxa"/>
            <w:bottom w:w="15" w:type="dxa"/>
            <w:right w:w="15" w:type="dxa"/>
          </w:tblCellMar>
        </w:tblPrEx>
        <w:trPr>
          <w:tblCellSpacing w:w="15" w:type="dxa"/>
        </w:trPr>
        <w:tc>
          <w:tcPr>
            <w:tcW w:w="3276" w:type="dxa"/>
            <w:vAlign w:val="center"/>
          </w:tcPr>
          <w:p w14:paraId="4948B4D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Respiratory rate (cycles/min)</w:t>
            </w:r>
          </w:p>
        </w:tc>
        <w:tc>
          <w:tcPr>
            <w:tcW w:w="2660" w:type="dxa"/>
            <w:vAlign w:val="center"/>
          </w:tcPr>
          <w:p w14:paraId="054EB8A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44.07 ± 8.80</w:t>
            </w:r>
          </w:p>
        </w:tc>
        <w:tc>
          <w:tcPr>
            <w:tcW w:w="2447" w:type="dxa"/>
            <w:vAlign w:val="center"/>
          </w:tcPr>
          <w:p w14:paraId="380DE37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47.83 ± 9.89</w:t>
            </w:r>
          </w:p>
        </w:tc>
        <w:tc>
          <w:tcPr>
            <w:tcW w:w="0" w:type="auto"/>
            <w:gridSpan w:val="2"/>
            <w:vAlign w:val="center"/>
          </w:tcPr>
          <w:p w14:paraId="07DCF493">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0.030*</w:t>
            </w:r>
          </w:p>
        </w:tc>
      </w:tr>
      <w:tr w14:paraId="7A0009D5">
        <w:tblPrEx>
          <w:tblCellMar>
            <w:top w:w="15" w:type="dxa"/>
            <w:left w:w="15" w:type="dxa"/>
            <w:bottom w:w="15" w:type="dxa"/>
            <w:right w:w="15" w:type="dxa"/>
          </w:tblCellMar>
        </w:tblPrEx>
        <w:trPr>
          <w:tblCellSpacing w:w="15" w:type="dxa"/>
        </w:trPr>
        <w:tc>
          <w:tcPr>
            <w:tcW w:w="3276" w:type="dxa"/>
            <w:vAlign w:val="center"/>
          </w:tcPr>
          <w:p w14:paraId="7943B5A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Temperature (°C)</w:t>
            </w:r>
          </w:p>
        </w:tc>
        <w:tc>
          <w:tcPr>
            <w:tcW w:w="2660" w:type="dxa"/>
            <w:vAlign w:val="center"/>
          </w:tcPr>
          <w:p w14:paraId="359D78C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37.50 ± 0.46</w:t>
            </w:r>
          </w:p>
        </w:tc>
        <w:tc>
          <w:tcPr>
            <w:tcW w:w="2447" w:type="dxa"/>
            <w:vAlign w:val="center"/>
          </w:tcPr>
          <w:p w14:paraId="752F365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38.23 ± 0.48</w:t>
            </w:r>
          </w:p>
        </w:tc>
        <w:tc>
          <w:tcPr>
            <w:tcW w:w="0" w:type="auto"/>
            <w:gridSpan w:val="2"/>
            <w:vAlign w:val="center"/>
          </w:tcPr>
          <w:p w14:paraId="2F44B5D2">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223E889B">
        <w:tblPrEx>
          <w:tblCellMar>
            <w:top w:w="15" w:type="dxa"/>
            <w:left w:w="15" w:type="dxa"/>
            <w:bottom w:w="15" w:type="dxa"/>
            <w:right w:w="15" w:type="dxa"/>
          </w:tblCellMar>
        </w:tblPrEx>
        <w:trPr>
          <w:tblCellSpacing w:w="15" w:type="dxa"/>
        </w:trPr>
        <w:tc>
          <w:tcPr>
            <w:tcW w:w="3276" w:type="dxa"/>
            <w:vAlign w:val="center"/>
          </w:tcPr>
          <w:p w14:paraId="6E863AB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Oxygen saturation (%)</w:t>
            </w:r>
          </w:p>
        </w:tc>
        <w:tc>
          <w:tcPr>
            <w:tcW w:w="2660" w:type="dxa"/>
            <w:vAlign w:val="center"/>
          </w:tcPr>
          <w:p w14:paraId="2E86A47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95.90 ± 1.54</w:t>
            </w:r>
          </w:p>
        </w:tc>
        <w:tc>
          <w:tcPr>
            <w:tcW w:w="2447" w:type="dxa"/>
            <w:vAlign w:val="center"/>
          </w:tcPr>
          <w:p w14:paraId="7E6149E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88.98 ± 7.33</w:t>
            </w:r>
          </w:p>
        </w:tc>
        <w:tc>
          <w:tcPr>
            <w:tcW w:w="0" w:type="auto"/>
            <w:gridSpan w:val="2"/>
            <w:vAlign w:val="center"/>
          </w:tcPr>
          <w:p w14:paraId="755D9588">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01C32F51">
        <w:tblPrEx>
          <w:tblCellMar>
            <w:top w:w="15" w:type="dxa"/>
            <w:left w:w="15" w:type="dxa"/>
            <w:bottom w:w="15" w:type="dxa"/>
            <w:right w:w="15" w:type="dxa"/>
          </w:tblCellMar>
        </w:tblPrEx>
        <w:trPr>
          <w:tblCellSpacing w:w="15" w:type="dxa"/>
        </w:trPr>
        <w:tc>
          <w:tcPr>
            <w:tcW w:w="3276" w:type="dxa"/>
            <w:vAlign w:val="center"/>
          </w:tcPr>
          <w:p w14:paraId="540B621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Systolic blood pressure (mmHg)</w:t>
            </w:r>
          </w:p>
        </w:tc>
        <w:tc>
          <w:tcPr>
            <w:tcW w:w="2660" w:type="dxa"/>
            <w:vAlign w:val="center"/>
          </w:tcPr>
          <w:p w14:paraId="53BE3C7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89.92 ± 10.51</w:t>
            </w:r>
          </w:p>
        </w:tc>
        <w:tc>
          <w:tcPr>
            <w:tcW w:w="2447" w:type="dxa"/>
            <w:vAlign w:val="center"/>
          </w:tcPr>
          <w:p w14:paraId="442322C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73.92 ± 20.54</w:t>
            </w:r>
          </w:p>
        </w:tc>
        <w:tc>
          <w:tcPr>
            <w:tcW w:w="0" w:type="auto"/>
            <w:gridSpan w:val="2"/>
            <w:vAlign w:val="center"/>
          </w:tcPr>
          <w:p w14:paraId="12F951C8">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71398A38">
        <w:tblPrEx>
          <w:tblCellMar>
            <w:top w:w="15" w:type="dxa"/>
            <w:left w:w="15" w:type="dxa"/>
            <w:bottom w:w="15" w:type="dxa"/>
            <w:right w:w="15" w:type="dxa"/>
          </w:tblCellMar>
        </w:tblPrEx>
        <w:trPr>
          <w:tblCellSpacing w:w="15" w:type="dxa"/>
        </w:trPr>
        <w:tc>
          <w:tcPr>
            <w:tcW w:w="3276" w:type="dxa"/>
            <w:vAlign w:val="center"/>
          </w:tcPr>
          <w:p w14:paraId="37FAD8B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Diastolic blood pressure (mmHg)</w:t>
            </w:r>
          </w:p>
        </w:tc>
        <w:tc>
          <w:tcPr>
            <w:tcW w:w="2660" w:type="dxa"/>
            <w:vAlign w:val="center"/>
          </w:tcPr>
          <w:p w14:paraId="2D59D23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56.67 ± 7.73</w:t>
            </w:r>
          </w:p>
        </w:tc>
        <w:tc>
          <w:tcPr>
            <w:tcW w:w="2447" w:type="dxa"/>
            <w:vAlign w:val="center"/>
          </w:tcPr>
          <w:p w14:paraId="69E21C4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48.67 ± 16.20</w:t>
            </w:r>
          </w:p>
        </w:tc>
        <w:tc>
          <w:tcPr>
            <w:tcW w:w="0" w:type="auto"/>
            <w:gridSpan w:val="2"/>
            <w:vAlign w:val="center"/>
          </w:tcPr>
          <w:p w14:paraId="2263FEFA">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0.001*</w:t>
            </w:r>
          </w:p>
        </w:tc>
      </w:tr>
      <w:tr w14:paraId="57E4E8CF">
        <w:tblPrEx>
          <w:tblCellMar>
            <w:top w:w="15" w:type="dxa"/>
            <w:left w:w="15" w:type="dxa"/>
            <w:bottom w:w="15" w:type="dxa"/>
            <w:right w:w="15" w:type="dxa"/>
          </w:tblCellMar>
        </w:tblPrEx>
        <w:trPr>
          <w:tblCellSpacing w:w="15" w:type="dxa"/>
        </w:trPr>
        <w:tc>
          <w:tcPr>
            <w:tcW w:w="3276" w:type="dxa"/>
            <w:vAlign w:val="center"/>
          </w:tcPr>
          <w:p w14:paraId="4778788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Hematological parameters</w:t>
            </w:r>
            <w:r>
              <w:rPr>
                <w:rFonts w:ascii="Times New Roman" w:hAnsi="Times New Roman" w:eastAsia="Times New Roman" w:cs="Times New Roman"/>
                <w:sz w:val="24"/>
                <w:szCs w:val="24"/>
                <w:lang w:val="en-US"/>
              </w:rPr>
              <w:t>, mean ± SD</w:t>
            </w:r>
          </w:p>
        </w:tc>
        <w:tc>
          <w:tcPr>
            <w:tcW w:w="2660" w:type="dxa"/>
            <w:vAlign w:val="center"/>
          </w:tcPr>
          <w:p w14:paraId="73B4F2B6">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7FD0333D">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714AA690">
            <w:pPr>
              <w:spacing w:after="0" w:line="240" w:lineRule="auto"/>
              <w:jc w:val="center"/>
              <w:rPr>
                <w:rFonts w:ascii="Times New Roman" w:hAnsi="Times New Roman" w:eastAsia="Times New Roman" w:cs="Times New Roman"/>
                <w:sz w:val="20"/>
                <w:szCs w:val="20"/>
                <w:lang w:val="en-US"/>
              </w:rPr>
            </w:pPr>
          </w:p>
        </w:tc>
      </w:tr>
      <w:tr w14:paraId="148164B9">
        <w:tblPrEx>
          <w:tblCellMar>
            <w:top w:w="15" w:type="dxa"/>
            <w:left w:w="15" w:type="dxa"/>
            <w:bottom w:w="15" w:type="dxa"/>
            <w:right w:w="15" w:type="dxa"/>
          </w:tblCellMar>
        </w:tblPrEx>
        <w:trPr>
          <w:tblCellSpacing w:w="15" w:type="dxa"/>
        </w:trPr>
        <w:tc>
          <w:tcPr>
            <w:tcW w:w="3276" w:type="dxa"/>
            <w:vAlign w:val="center"/>
          </w:tcPr>
          <w:p w14:paraId="03C428D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WBCs (/L)</w:t>
            </w:r>
          </w:p>
        </w:tc>
        <w:tc>
          <w:tcPr>
            <w:tcW w:w="2660" w:type="dxa"/>
            <w:vAlign w:val="center"/>
          </w:tcPr>
          <w:p w14:paraId="175F793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9993.58 ± 3287.02</w:t>
            </w:r>
          </w:p>
        </w:tc>
        <w:tc>
          <w:tcPr>
            <w:tcW w:w="2447" w:type="dxa"/>
            <w:vAlign w:val="center"/>
          </w:tcPr>
          <w:p w14:paraId="44B9831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14233.08 ± 4698.30</w:t>
            </w:r>
          </w:p>
        </w:tc>
        <w:tc>
          <w:tcPr>
            <w:tcW w:w="0" w:type="auto"/>
            <w:gridSpan w:val="2"/>
            <w:vAlign w:val="center"/>
          </w:tcPr>
          <w:p w14:paraId="1BE753AA">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079C7FF9">
        <w:tblPrEx>
          <w:tblCellMar>
            <w:top w:w="15" w:type="dxa"/>
            <w:left w:w="15" w:type="dxa"/>
            <w:bottom w:w="15" w:type="dxa"/>
            <w:right w:w="15" w:type="dxa"/>
          </w:tblCellMar>
        </w:tblPrEx>
        <w:trPr>
          <w:tblCellSpacing w:w="15" w:type="dxa"/>
        </w:trPr>
        <w:tc>
          <w:tcPr>
            <w:tcW w:w="3276" w:type="dxa"/>
            <w:vAlign w:val="center"/>
          </w:tcPr>
          <w:p w14:paraId="4301B70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Lymphocytes (%)</w:t>
            </w:r>
          </w:p>
        </w:tc>
        <w:tc>
          <w:tcPr>
            <w:tcW w:w="2660" w:type="dxa"/>
            <w:vAlign w:val="center"/>
          </w:tcPr>
          <w:p w14:paraId="33D6FBE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34.20 ± 12.35</w:t>
            </w:r>
          </w:p>
        </w:tc>
        <w:tc>
          <w:tcPr>
            <w:tcW w:w="2447" w:type="dxa"/>
            <w:vAlign w:val="center"/>
          </w:tcPr>
          <w:p w14:paraId="598BAD6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31.96 ± 8.12</w:t>
            </w:r>
          </w:p>
        </w:tc>
        <w:tc>
          <w:tcPr>
            <w:tcW w:w="0" w:type="auto"/>
            <w:gridSpan w:val="2"/>
            <w:vAlign w:val="center"/>
          </w:tcPr>
          <w:p w14:paraId="5E874CD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0.244</w:t>
            </w:r>
          </w:p>
        </w:tc>
      </w:tr>
      <w:tr w14:paraId="206448F3">
        <w:tblPrEx>
          <w:tblCellMar>
            <w:top w:w="15" w:type="dxa"/>
            <w:left w:w="15" w:type="dxa"/>
            <w:bottom w:w="15" w:type="dxa"/>
            <w:right w:w="15" w:type="dxa"/>
          </w:tblCellMar>
        </w:tblPrEx>
        <w:trPr>
          <w:tblCellSpacing w:w="15" w:type="dxa"/>
        </w:trPr>
        <w:tc>
          <w:tcPr>
            <w:tcW w:w="3276" w:type="dxa"/>
            <w:vAlign w:val="center"/>
          </w:tcPr>
          <w:p w14:paraId="19E6241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w:t>
            </w:r>
          </w:p>
        </w:tc>
        <w:tc>
          <w:tcPr>
            <w:tcW w:w="2660" w:type="dxa"/>
            <w:vAlign w:val="center"/>
          </w:tcPr>
          <w:p w14:paraId="2D03356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54.36 ± 15.89</w:t>
            </w:r>
          </w:p>
        </w:tc>
        <w:tc>
          <w:tcPr>
            <w:tcW w:w="2447" w:type="dxa"/>
            <w:vAlign w:val="center"/>
          </w:tcPr>
          <w:p w14:paraId="6F24D9A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57.57 ± 6.92</w:t>
            </w:r>
          </w:p>
        </w:tc>
        <w:tc>
          <w:tcPr>
            <w:tcW w:w="0" w:type="auto"/>
            <w:gridSpan w:val="2"/>
            <w:vAlign w:val="center"/>
          </w:tcPr>
          <w:p w14:paraId="73BFCE8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0.153</w:t>
            </w:r>
          </w:p>
        </w:tc>
      </w:tr>
      <w:tr w14:paraId="55F2225C">
        <w:tblPrEx>
          <w:tblCellMar>
            <w:top w:w="15" w:type="dxa"/>
            <w:left w:w="15" w:type="dxa"/>
            <w:bottom w:w="15" w:type="dxa"/>
            <w:right w:w="15" w:type="dxa"/>
          </w:tblCellMar>
        </w:tblPrEx>
        <w:trPr>
          <w:tblCellSpacing w:w="15" w:type="dxa"/>
        </w:trPr>
        <w:tc>
          <w:tcPr>
            <w:tcW w:w="3276" w:type="dxa"/>
            <w:vAlign w:val="center"/>
          </w:tcPr>
          <w:p w14:paraId="424F55A3">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Monocytes (%)</w:t>
            </w:r>
          </w:p>
        </w:tc>
        <w:tc>
          <w:tcPr>
            <w:tcW w:w="2660" w:type="dxa"/>
            <w:vAlign w:val="center"/>
          </w:tcPr>
          <w:p w14:paraId="7895335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6.36 ± 1.91</w:t>
            </w:r>
          </w:p>
        </w:tc>
        <w:tc>
          <w:tcPr>
            <w:tcW w:w="2447" w:type="dxa"/>
            <w:vAlign w:val="center"/>
          </w:tcPr>
          <w:p w14:paraId="0EE07F3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5.70 ± 0.74</w:t>
            </w:r>
          </w:p>
        </w:tc>
        <w:tc>
          <w:tcPr>
            <w:tcW w:w="0" w:type="auto"/>
            <w:gridSpan w:val="2"/>
            <w:vAlign w:val="center"/>
          </w:tcPr>
          <w:p w14:paraId="557DCB6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0.014</w:t>
            </w:r>
          </w:p>
        </w:tc>
      </w:tr>
      <w:tr w14:paraId="166310DC">
        <w:tblPrEx>
          <w:tblCellMar>
            <w:top w:w="15" w:type="dxa"/>
            <w:left w:w="15" w:type="dxa"/>
            <w:bottom w:w="15" w:type="dxa"/>
            <w:right w:w="15" w:type="dxa"/>
          </w:tblCellMar>
        </w:tblPrEx>
        <w:trPr>
          <w:tblCellSpacing w:w="15" w:type="dxa"/>
        </w:trPr>
        <w:tc>
          <w:tcPr>
            <w:tcW w:w="3276" w:type="dxa"/>
            <w:vAlign w:val="center"/>
          </w:tcPr>
          <w:p w14:paraId="451D16B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RBCs (million/L)</w:t>
            </w:r>
          </w:p>
        </w:tc>
        <w:tc>
          <w:tcPr>
            <w:tcW w:w="2660" w:type="dxa"/>
            <w:vAlign w:val="center"/>
          </w:tcPr>
          <w:p w14:paraId="07FE190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3.88 ± 0.86</w:t>
            </w:r>
          </w:p>
        </w:tc>
        <w:tc>
          <w:tcPr>
            <w:tcW w:w="2447" w:type="dxa"/>
            <w:vAlign w:val="center"/>
          </w:tcPr>
          <w:p w14:paraId="3A13804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3.94 ± 0.44</w:t>
            </w:r>
          </w:p>
        </w:tc>
        <w:tc>
          <w:tcPr>
            <w:tcW w:w="0" w:type="auto"/>
            <w:gridSpan w:val="2"/>
            <w:vAlign w:val="center"/>
          </w:tcPr>
          <w:p w14:paraId="192E0AD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0.680</w:t>
            </w:r>
          </w:p>
        </w:tc>
      </w:tr>
      <w:tr w14:paraId="70F8C1EB">
        <w:tblPrEx>
          <w:tblCellMar>
            <w:top w:w="15" w:type="dxa"/>
            <w:left w:w="15" w:type="dxa"/>
            <w:bottom w:w="15" w:type="dxa"/>
            <w:right w:w="15" w:type="dxa"/>
          </w:tblCellMar>
        </w:tblPrEx>
        <w:trPr>
          <w:tblCellSpacing w:w="15" w:type="dxa"/>
        </w:trPr>
        <w:tc>
          <w:tcPr>
            <w:tcW w:w="3276" w:type="dxa"/>
            <w:vAlign w:val="center"/>
          </w:tcPr>
          <w:p w14:paraId="718A7C3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Hemoglobin (g/L)</w:t>
            </w:r>
          </w:p>
        </w:tc>
        <w:tc>
          <w:tcPr>
            <w:tcW w:w="2660" w:type="dxa"/>
            <w:vAlign w:val="center"/>
          </w:tcPr>
          <w:p w14:paraId="68CC684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9.48 ± 0.88</w:t>
            </w:r>
          </w:p>
        </w:tc>
        <w:tc>
          <w:tcPr>
            <w:tcW w:w="2447" w:type="dxa"/>
            <w:vAlign w:val="center"/>
          </w:tcPr>
          <w:p w14:paraId="04CA4AD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9.71 ± 1.57</w:t>
            </w:r>
          </w:p>
        </w:tc>
        <w:tc>
          <w:tcPr>
            <w:tcW w:w="0" w:type="auto"/>
            <w:gridSpan w:val="2"/>
            <w:vAlign w:val="center"/>
          </w:tcPr>
          <w:p w14:paraId="5FA5A6B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0.327</w:t>
            </w:r>
          </w:p>
        </w:tc>
      </w:tr>
      <w:tr w14:paraId="4402FBDB">
        <w:tblPrEx>
          <w:tblCellMar>
            <w:top w:w="15" w:type="dxa"/>
            <w:left w:w="15" w:type="dxa"/>
            <w:bottom w:w="15" w:type="dxa"/>
            <w:right w:w="15" w:type="dxa"/>
          </w:tblCellMar>
        </w:tblPrEx>
        <w:trPr>
          <w:tblCellSpacing w:w="15" w:type="dxa"/>
        </w:trPr>
        <w:tc>
          <w:tcPr>
            <w:tcW w:w="3276" w:type="dxa"/>
            <w:vAlign w:val="center"/>
          </w:tcPr>
          <w:p w14:paraId="12344A9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Hematocrit value (%)</w:t>
            </w:r>
          </w:p>
        </w:tc>
        <w:tc>
          <w:tcPr>
            <w:tcW w:w="2660" w:type="dxa"/>
            <w:vAlign w:val="center"/>
          </w:tcPr>
          <w:p w14:paraId="7B1F0E6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27.59 ± 3.46</w:t>
            </w:r>
          </w:p>
        </w:tc>
        <w:tc>
          <w:tcPr>
            <w:tcW w:w="2447" w:type="dxa"/>
            <w:vAlign w:val="center"/>
          </w:tcPr>
          <w:p w14:paraId="7179379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30.60 ± 4.26</w:t>
            </w:r>
          </w:p>
        </w:tc>
        <w:tc>
          <w:tcPr>
            <w:tcW w:w="0" w:type="auto"/>
            <w:gridSpan w:val="2"/>
            <w:vAlign w:val="center"/>
          </w:tcPr>
          <w:p w14:paraId="5255E36F">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3D8C3C09">
        <w:tblPrEx>
          <w:tblCellMar>
            <w:top w:w="15" w:type="dxa"/>
            <w:left w:w="15" w:type="dxa"/>
            <w:bottom w:w="15" w:type="dxa"/>
            <w:right w:w="15" w:type="dxa"/>
          </w:tblCellMar>
        </w:tblPrEx>
        <w:trPr>
          <w:tblCellSpacing w:w="15" w:type="dxa"/>
        </w:trPr>
        <w:tc>
          <w:tcPr>
            <w:tcW w:w="3276" w:type="dxa"/>
            <w:vAlign w:val="center"/>
          </w:tcPr>
          <w:p w14:paraId="4184D4E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MCV</w:t>
            </w:r>
          </w:p>
        </w:tc>
        <w:tc>
          <w:tcPr>
            <w:tcW w:w="2660" w:type="dxa"/>
            <w:vAlign w:val="center"/>
          </w:tcPr>
          <w:p w14:paraId="1FE9762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84.50 ± 5.80</w:t>
            </w:r>
          </w:p>
        </w:tc>
        <w:tc>
          <w:tcPr>
            <w:tcW w:w="2447" w:type="dxa"/>
            <w:vAlign w:val="center"/>
          </w:tcPr>
          <w:p w14:paraId="5A6722F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77.90 ± 9.04</w:t>
            </w:r>
          </w:p>
        </w:tc>
        <w:tc>
          <w:tcPr>
            <w:tcW w:w="0" w:type="auto"/>
            <w:gridSpan w:val="2"/>
            <w:vAlign w:val="center"/>
          </w:tcPr>
          <w:p w14:paraId="41B450CA">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38DE39C7">
        <w:tblPrEx>
          <w:tblCellMar>
            <w:top w:w="15" w:type="dxa"/>
            <w:left w:w="15" w:type="dxa"/>
            <w:bottom w:w="15" w:type="dxa"/>
            <w:right w:w="15" w:type="dxa"/>
          </w:tblCellMar>
        </w:tblPrEx>
        <w:trPr>
          <w:tblCellSpacing w:w="15" w:type="dxa"/>
        </w:trPr>
        <w:tc>
          <w:tcPr>
            <w:tcW w:w="3276" w:type="dxa"/>
            <w:vAlign w:val="center"/>
          </w:tcPr>
          <w:p w14:paraId="47E7F94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MCH</w:t>
            </w:r>
          </w:p>
        </w:tc>
        <w:tc>
          <w:tcPr>
            <w:tcW w:w="2660" w:type="dxa"/>
            <w:vAlign w:val="center"/>
          </w:tcPr>
          <w:p w14:paraId="295270E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28.40 ± 1.19</w:t>
            </w:r>
          </w:p>
        </w:tc>
        <w:tc>
          <w:tcPr>
            <w:tcW w:w="2447" w:type="dxa"/>
            <w:vAlign w:val="center"/>
          </w:tcPr>
          <w:p w14:paraId="5AC3426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24.56 ± 3.27</w:t>
            </w:r>
          </w:p>
        </w:tc>
        <w:tc>
          <w:tcPr>
            <w:tcW w:w="0" w:type="auto"/>
            <w:gridSpan w:val="2"/>
            <w:vAlign w:val="center"/>
          </w:tcPr>
          <w:p w14:paraId="0FD6A756">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241A3845">
        <w:tblPrEx>
          <w:tblCellMar>
            <w:top w:w="15" w:type="dxa"/>
            <w:left w:w="15" w:type="dxa"/>
            <w:bottom w:w="15" w:type="dxa"/>
            <w:right w:w="15" w:type="dxa"/>
          </w:tblCellMar>
        </w:tblPrEx>
        <w:trPr>
          <w:tblCellSpacing w:w="15" w:type="dxa"/>
        </w:trPr>
        <w:tc>
          <w:tcPr>
            <w:tcW w:w="3276" w:type="dxa"/>
            <w:vAlign w:val="center"/>
          </w:tcPr>
          <w:p w14:paraId="405B4F3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MCHC</w:t>
            </w:r>
          </w:p>
        </w:tc>
        <w:tc>
          <w:tcPr>
            <w:tcW w:w="2660" w:type="dxa"/>
            <w:vAlign w:val="center"/>
          </w:tcPr>
          <w:p w14:paraId="09FB25F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33.35 ± 1.94</w:t>
            </w:r>
          </w:p>
        </w:tc>
        <w:tc>
          <w:tcPr>
            <w:tcW w:w="2447" w:type="dxa"/>
            <w:vAlign w:val="center"/>
          </w:tcPr>
          <w:p w14:paraId="02EB0EB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31.54 ± 1.86</w:t>
            </w:r>
          </w:p>
        </w:tc>
        <w:tc>
          <w:tcPr>
            <w:tcW w:w="0" w:type="auto"/>
            <w:gridSpan w:val="2"/>
            <w:vAlign w:val="center"/>
          </w:tcPr>
          <w:p w14:paraId="0E9FD0CE">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6D0D52F0">
        <w:tblPrEx>
          <w:tblCellMar>
            <w:top w:w="15" w:type="dxa"/>
            <w:left w:w="15" w:type="dxa"/>
            <w:bottom w:w="15" w:type="dxa"/>
            <w:right w:w="15" w:type="dxa"/>
          </w:tblCellMar>
        </w:tblPrEx>
        <w:trPr>
          <w:tblCellSpacing w:w="15" w:type="dxa"/>
        </w:trPr>
        <w:tc>
          <w:tcPr>
            <w:tcW w:w="3276" w:type="dxa"/>
            <w:vAlign w:val="center"/>
          </w:tcPr>
          <w:p w14:paraId="1CED79D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Platelets (/L)</w:t>
            </w:r>
          </w:p>
        </w:tc>
        <w:tc>
          <w:tcPr>
            <w:tcW w:w="2660" w:type="dxa"/>
            <w:vAlign w:val="center"/>
          </w:tcPr>
          <w:p w14:paraId="5D6837F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468050.00 ± 221943.75</w:t>
            </w:r>
          </w:p>
        </w:tc>
        <w:tc>
          <w:tcPr>
            <w:tcW w:w="2447" w:type="dxa"/>
            <w:vAlign w:val="center"/>
          </w:tcPr>
          <w:p w14:paraId="02372F0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317666.66 ± 104715.05</w:t>
            </w:r>
          </w:p>
        </w:tc>
        <w:tc>
          <w:tcPr>
            <w:tcW w:w="0" w:type="auto"/>
            <w:gridSpan w:val="2"/>
            <w:vAlign w:val="center"/>
          </w:tcPr>
          <w:p w14:paraId="1A132F61">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5AAAA8C1">
        <w:tblPrEx>
          <w:tblCellMar>
            <w:top w:w="15" w:type="dxa"/>
            <w:left w:w="15" w:type="dxa"/>
            <w:bottom w:w="15" w:type="dxa"/>
            <w:right w:w="15" w:type="dxa"/>
          </w:tblCellMar>
        </w:tblPrEx>
        <w:trPr>
          <w:tblCellSpacing w:w="15" w:type="dxa"/>
        </w:trPr>
        <w:tc>
          <w:tcPr>
            <w:tcW w:w="3276" w:type="dxa"/>
            <w:vAlign w:val="center"/>
          </w:tcPr>
          <w:p w14:paraId="3333A29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Biochemical parameters</w:t>
            </w:r>
            <w:r>
              <w:rPr>
                <w:rFonts w:ascii="Times New Roman" w:hAnsi="Times New Roman" w:eastAsia="Times New Roman" w:cs="Times New Roman"/>
                <w:sz w:val="24"/>
                <w:szCs w:val="24"/>
                <w:lang w:val="en-US"/>
              </w:rPr>
              <w:t>, mean ± SD</w:t>
            </w:r>
          </w:p>
        </w:tc>
        <w:tc>
          <w:tcPr>
            <w:tcW w:w="2660" w:type="dxa"/>
            <w:vAlign w:val="center"/>
          </w:tcPr>
          <w:p w14:paraId="5EF18027">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71CE3753">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0F2D5F38">
            <w:pPr>
              <w:spacing w:after="0" w:line="240" w:lineRule="auto"/>
              <w:jc w:val="center"/>
              <w:rPr>
                <w:rFonts w:ascii="Times New Roman" w:hAnsi="Times New Roman" w:eastAsia="Times New Roman" w:cs="Times New Roman"/>
                <w:sz w:val="20"/>
                <w:szCs w:val="20"/>
                <w:lang w:val="en-US"/>
              </w:rPr>
            </w:pPr>
          </w:p>
        </w:tc>
      </w:tr>
      <w:tr w14:paraId="3E081E04">
        <w:tblPrEx>
          <w:tblCellMar>
            <w:top w:w="15" w:type="dxa"/>
            <w:left w:w="15" w:type="dxa"/>
            <w:bottom w:w="15" w:type="dxa"/>
            <w:right w:w="15" w:type="dxa"/>
          </w:tblCellMar>
        </w:tblPrEx>
        <w:trPr>
          <w:tblCellSpacing w:w="15" w:type="dxa"/>
        </w:trPr>
        <w:tc>
          <w:tcPr>
            <w:tcW w:w="3276" w:type="dxa"/>
            <w:vAlign w:val="center"/>
          </w:tcPr>
          <w:p w14:paraId="6018E3E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BUN (mmol/L)</w:t>
            </w:r>
          </w:p>
        </w:tc>
        <w:tc>
          <w:tcPr>
            <w:tcW w:w="2660" w:type="dxa"/>
            <w:vAlign w:val="center"/>
          </w:tcPr>
          <w:p w14:paraId="35EC156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3.61 ± 0.45</w:t>
            </w:r>
          </w:p>
        </w:tc>
        <w:tc>
          <w:tcPr>
            <w:tcW w:w="2447" w:type="dxa"/>
            <w:vAlign w:val="center"/>
          </w:tcPr>
          <w:p w14:paraId="3CFE976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4.23 ± 2.76</w:t>
            </w:r>
          </w:p>
        </w:tc>
        <w:tc>
          <w:tcPr>
            <w:tcW w:w="0" w:type="auto"/>
            <w:gridSpan w:val="2"/>
            <w:vAlign w:val="center"/>
          </w:tcPr>
          <w:p w14:paraId="0E03ACC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0.880</w:t>
            </w:r>
          </w:p>
        </w:tc>
      </w:tr>
      <w:tr w14:paraId="0390CC1E">
        <w:tblPrEx>
          <w:tblCellMar>
            <w:top w:w="15" w:type="dxa"/>
            <w:left w:w="15" w:type="dxa"/>
            <w:bottom w:w="15" w:type="dxa"/>
            <w:right w:w="15" w:type="dxa"/>
          </w:tblCellMar>
        </w:tblPrEx>
        <w:trPr>
          <w:tblCellSpacing w:w="15" w:type="dxa"/>
        </w:trPr>
        <w:tc>
          <w:tcPr>
            <w:tcW w:w="3276" w:type="dxa"/>
            <w:vAlign w:val="center"/>
          </w:tcPr>
          <w:p w14:paraId="5874637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Creatinine (mg/dl)</w:t>
            </w:r>
          </w:p>
        </w:tc>
        <w:tc>
          <w:tcPr>
            <w:tcW w:w="2660" w:type="dxa"/>
            <w:vAlign w:val="center"/>
          </w:tcPr>
          <w:p w14:paraId="0419525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0.25 ± 0.085</w:t>
            </w:r>
          </w:p>
        </w:tc>
        <w:tc>
          <w:tcPr>
            <w:tcW w:w="2447" w:type="dxa"/>
            <w:vAlign w:val="center"/>
          </w:tcPr>
          <w:p w14:paraId="5A7848E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0.32 ± 0.13</w:t>
            </w:r>
          </w:p>
        </w:tc>
        <w:tc>
          <w:tcPr>
            <w:tcW w:w="0" w:type="auto"/>
            <w:gridSpan w:val="2"/>
            <w:vAlign w:val="center"/>
          </w:tcPr>
          <w:p w14:paraId="53912DA4">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0.001*</w:t>
            </w:r>
          </w:p>
        </w:tc>
      </w:tr>
      <w:tr w14:paraId="023016F5">
        <w:tblPrEx>
          <w:tblCellMar>
            <w:top w:w="15" w:type="dxa"/>
            <w:left w:w="15" w:type="dxa"/>
            <w:bottom w:w="15" w:type="dxa"/>
            <w:right w:w="15" w:type="dxa"/>
          </w:tblCellMar>
        </w:tblPrEx>
        <w:trPr>
          <w:tblCellSpacing w:w="15" w:type="dxa"/>
        </w:trPr>
        <w:tc>
          <w:tcPr>
            <w:tcW w:w="3276" w:type="dxa"/>
            <w:vAlign w:val="center"/>
          </w:tcPr>
          <w:p w14:paraId="64F33EB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Na (mmol/L)</w:t>
            </w:r>
          </w:p>
        </w:tc>
        <w:tc>
          <w:tcPr>
            <w:tcW w:w="2660" w:type="dxa"/>
            <w:vAlign w:val="center"/>
          </w:tcPr>
          <w:p w14:paraId="62B9C59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137.85 ± 2.19</w:t>
            </w:r>
          </w:p>
        </w:tc>
        <w:tc>
          <w:tcPr>
            <w:tcW w:w="2447" w:type="dxa"/>
            <w:vAlign w:val="center"/>
          </w:tcPr>
          <w:p w14:paraId="0BDD831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140.23 ± 8.57</w:t>
            </w:r>
          </w:p>
        </w:tc>
        <w:tc>
          <w:tcPr>
            <w:tcW w:w="0" w:type="auto"/>
            <w:gridSpan w:val="2"/>
            <w:vAlign w:val="center"/>
          </w:tcPr>
          <w:p w14:paraId="4BFB4919">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0.041*</w:t>
            </w:r>
          </w:p>
        </w:tc>
      </w:tr>
      <w:tr w14:paraId="5FCF8540">
        <w:tblPrEx>
          <w:tblCellMar>
            <w:top w:w="15" w:type="dxa"/>
            <w:left w:w="15" w:type="dxa"/>
            <w:bottom w:w="15" w:type="dxa"/>
            <w:right w:w="15" w:type="dxa"/>
          </w:tblCellMar>
        </w:tblPrEx>
        <w:trPr>
          <w:tblCellSpacing w:w="15" w:type="dxa"/>
        </w:trPr>
        <w:tc>
          <w:tcPr>
            <w:tcW w:w="3276" w:type="dxa"/>
            <w:vAlign w:val="center"/>
          </w:tcPr>
          <w:p w14:paraId="09ED647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K (mmol/L)</w:t>
            </w:r>
          </w:p>
        </w:tc>
        <w:tc>
          <w:tcPr>
            <w:tcW w:w="2660" w:type="dxa"/>
            <w:vAlign w:val="center"/>
          </w:tcPr>
          <w:p w14:paraId="7332CF5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4.93 ± 0.68</w:t>
            </w:r>
          </w:p>
        </w:tc>
        <w:tc>
          <w:tcPr>
            <w:tcW w:w="2447" w:type="dxa"/>
            <w:vAlign w:val="center"/>
          </w:tcPr>
          <w:p w14:paraId="7F49255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4.52 ± 1.10</w:t>
            </w:r>
          </w:p>
        </w:tc>
        <w:tc>
          <w:tcPr>
            <w:tcW w:w="0" w:type="auto"/>
            <w:gridSpan w:val="2"/>
            <w:vAlign w:val="center"/>
          </w:tcPr>
          <w:p w14:paraId="342A8F7D">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0.017*</w:t>
            </w:r>
          </w:p>
        </w:tc>
      </w:tr>
      <w:tr w14:paraId="0411A400">
        <w:tblPrEx>
          <w:tblCellMar>
            <w:top w:w="15" w:type="dxa"/>
            <w:left w:w="15" w:type="dxa"/>
            <w:bottom w:w="15" w:type="dxa"/>
            <w:right w:w="15" w:type="dxa"/>
          </w:tblCellMar>
        </w:tblPrEx>
        <w:trPr>
          <w:tblCellSpacing w:w="15" w:type="dxa"/>
        </w:trPr>
        <w:tc>
          <w:tcPr>
            <w:tcW w:w="3276" w:type="dxa"/>
            <w:vAlign w:val="center"/>
          </w:tcPr>
          <w:p w14:paraId="3737D61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Ca (mg/dl)</w:t>
            </w:r>
          </w:p>
        </w:tc>
        <w:tc>
          <w:tcPr>
            <w:tcW w:w="2660" w:type="dxa"/>
            <w:vAlign w:val="center"/>
          </w:tcPr>
          <w:p w14:paraId="741D3B7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8.77 ± 0.27</w:t>
            </w:r>
          </w:p>
        </w:tc>
        <w:tc>
          <w:tcPr>
            <w:tcW w:w="2447" w:type="dxa"/>
            <w:vAlign w:val="center"/>
          </w:tcPr>
          <w:p w14:paraId="20805CB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8.81 ± 0.75</w:t>
            </w:r>
          </w:p>
        </w:tc>
        <w:tc>
          <w:tcPr>
            <w:tcW w:w="0" w:type="auto"/>
            <w:gridSpan w:val="2"/>
            <w:vAlign w:val="center"/>
          </w:tcPr>
          <w:p w14:paraId="7772A42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0.689</w:t>
            </w:r>
          </w:p>
        </w:tc>
      </w:tr>
      <w:tr w14:paraId="3A52B394">
        <w:tblPrEx>
          <w:tblCellMar>
            <w:top w:w="15" w:type="dxa"/>
            <w:left w:w="15" w:type="dxa"/>
            <w:bottom w:w="15" w:type="dxa"/>
            <w:right w:w="15" w:type="dxa"/>
          </w:tblCellMar>
        </w:tblPrEx>
        <w:trPr>
          <w:tblCellSpacing w:w="15" w:type="dxa"/>
        </w:trPr>
        <w:tc>
          <w:tcPr>
            <w:tcW w:w="3276" w:type="dxa"/>
            <w:vAlign w:val="center"/>
          </w:tcPr>
          <w:p w14:paraId="33CD507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Total proteins (g/dL)</w:t>
            </w:r>
          </w:p>
        </w:tc>
        <w:tc>
          <w:tcPr>
            <w:tcW w:w="2660" w:type="dxa"/>
            <w:vAlign w:val="center"/>
          </w:tcPr>
          <w:p w14:paraId="6694D57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6.81 ± 1.16</w:t>
            </w:r>
          </w:p>
        </w:tc>
        <w:tc>
          <w:tcPr>
            <w:tcW w:w="2447" w:type="dxa"/>
            <w:vAlign w:val="center"/>
          </w:tcPr>
          <w:p w14:paraId="76CE608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5.70 ± 1.11</w:t>
            </w:r>
          </w:p>
        </w:tc>
        <w:tc>
          <w:tcPr>
            <w:tcW w:w="0" w:type="auto"/>
            <w:gridSpan w:val="2"/>
            <w:vAlign w:val="center"/>
          </w:tcPr>
          <w:p w14:paraId="665A8950">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color w:val="FF0000"/>
                <w:sz w:val="24"/>
                <w:szCs w:val="24"/>
                <w:lang w:val="en-US"/>
              </w:rPr>
              <w:t>&lt;0.001*</w:t>
            </w:r>
          </w:p>
        </w:tc>
      </w:tr>
      <w:tr w14:paraId="0290844D">
        <w:tblPrEx>
          <w:tblCellMar>
            <w:top w:w="15" w:type="dxa"/>
            <w:left w:w="15" w:type="dxa"/>
            <w:bottom w:w="15" w:type="dxa"/>
            <w:right w:w="15" w:type="dxa"/>
          </w:tblCellMar>
        </w:tblPrEx>
        <w:trPr>
          <w:tblCellSpacing w:w="15" w:type="dxa"/>
        </w:trPr>
        <w:tc>
          <w:tcPr>
            <w:tcW w:w="3276" w:type="dxa"/>
            <w:vAlign w:val="center"/>
          </w:tcPr>
          <w:p w14:paraId="11C015B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Albumin (g/dL)</w:t>
            </w:r>
          </w:p>
        </w:tc>
        <w:tc>
          <w:tcPr>
            <w:tcW w:w="2660" w:type="dxa"/>
            <w:vAlign w:val="center"/>
          </w:tcPr>
          <w:p w14:paraId="110E35B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3.88 ± 0.33</w:t>
            </w:r>
          </w:p>
        </w:tc>
        <w:tc>
          <w:tcPr>
            <w:tcW w:w="2447" w:type="dxa"/>
            <w:vAlign w:val="center"/>
          </w:tcPr>
          <w:p w14:paraId="692EBF2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3.56 ± 0.77</w:t>
            </w:r>
          </w:p>
        </w:tc>
        <w:tc>
          <w:tcPr>
            <w:tcW w:w="0" w:type="auto"/>
            <w:gridSpan w:val="2"/>
            <w:vAlign w:val="center"/>
          </w:tcPr>
          <w:p w14:paraId="41695FE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0.004</w:t>
            </w:r>
          </w:p>
        </w:tc>
      </w:tr>
      <w:tr w14:paraId="74C2C5D8">
        <w:tblPrEx>
          <w:tblCellMar>
            <w:top w:w="15" w:type="dxa"/>
            <w:left w:w="15" w:type="dxa"/>
            <w:bottom w:w="15" w:type="dxa"/>
            <w:right w:w="15" w:type="dxa"/>
          </w:tblCellMar>
        </w:tblPrEx>
        <w:trPr>
          <w:tblCellSpacing w:w="15" w:type="dxa"/>
        </w:trPr>
        <w:tc>
          <w:tcPr>
            <w:tcW w:w="3276" w:type="dxa"/>
            <w:vAlign w:val="center"/>
          </w:tcPr>
          <w:p w14:paraId="7D30229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ALT (U/L)</w:t>
            </w:r>
          </w:p>
        </w:tc>
        <w:tc>
          <w:tcPr>
            <w:tcW w:w="2660" w:type="dxa"/>
            <w:vAlign w:val="center"/>
          </w:tcPr>
          <w:p w14:paraId="3AACB40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23.33 ± 7.60</w:t>
            </w:r>
          </w:p>
        </w:tc>
        <w:tc>
          <w:tcPr>
            <w:tcW w:w="2447" w:type="dxa"/>
            <w:vAlign w:val="center"/>
          </w:tcPr>
          <w:p w14:paraId="0E8477E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28.00 ± 21.20</w:t>
            </w:r>
          </w:p>
        </w:tc>
        <w:tc>
          <w:tcPr>
            <w:tcW w:w="0" w:type="auto"/>
            <w:gridSpan w:val="2"/>
            <w:vAlign w:val="center"/>
          </w:tcPr>
          <w:p w14:paraId="0AF85AD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0.105</w:t>
            </w:r>
          </w:p>
        </w:tc>
      </w:tr>
      <w:tr w14:paraId="3E5611E7">
        <w:tblPrEx>
          <w:tblCellMar>
            <w:top w:w="15" w:type="dxa"/>
            <w:left w:w="15" w:type="dxa"/>
            <w:bottom w:w="15" w:type="dxa"/>
            <w:right w:w="15" w:type="dxa"/>
          </w:tblCellMar>
        </w:tblPrEx>
        <w:trPr>
          <w:tblCellSpacing w:w="15" w:type="dxa"/>
        </w:trPr>
        <w:tc>
          <w:tcPr>
            <w:tcW w:w="3276" w:type="dxa"/>
            <w:vAlign w:val="center"/>
          </w:tcPr>
          <w:p w14:paraId="6F2CEF7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AST (U/L)</w:t>
            </w:r>
          </w:p>
        </w:tc>
        <w:tc>
          <w:tcPr>
            <w:tcW w:w="2660" w:type="dxa"/>
            <w:vAlign w:val="center"/>
          </w:tcPr>
          <w:p w14:paraId="29EACB8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36.65 ± 30.75</w:t>
            </w:r>
          </w:p>
        </w:tc>
        <w:tc>
          <w:tcPr>
            <w:tcW w:w="2447" w:type="dxa"/>
            <w:vAlign w:val="center"/>
          </w:tcPr>
          <w:p w14:paraId="2F8F795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39.02 ± 16.41</w:t>
            </w:r>
          </w:p>
        </w:tc>
        <w:tc>
          <w:tcPr>
            <w:tcW w:w="0" w:type="auto"/>
            <w:gridSpan w:val="2"/>
            <w:vAlign w:val="center"/>
          </w:tcPr>
          <w:p w14:paraId="2E2E393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0.600</w:t>
            </w:r>
          </w:p>
        </w:tc>
      </w:tr>
      <w:tr w14:paraId="5E3DC328">
        <w:tblPrEx>
          <w:tblCellMar>
            <w:top w:w="15" w:type="dxa"/>
            <w:left w:w="15" w:type="dxa"/>
            <w:bottom w:w="15" w:type="dxa"/>
            <w:right w:w="15" w:type="dxa"/>
          </w:tblCellMar>
        </w:tblPrEx>
        <w:trPr>
          <w:tblCellSpacing w:w="15" w:type="dxa"/>
        </w:trPr>
        <w:tc>
          <w:tcPr>
            <w:tcW w:w="3276" w:type="dxa"/>
            <w:vAlign w:val="center"/>
          </w:tcPr>
          <w:p w14:paraId="06F9AEB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ALP (U/L)</w:t>
            </w:r>
          </w:p>
        </w:tc>
        <w:tc>
          <w:tcPr>
            <w:tcW w:w="2660" w:type="dxa"/>
            <w:vAlign w:val="center"/>
          </w:tcPr>
          <w:p w14:paraId="33B0C6F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315.85 ± 137.61</w:t>
            </w:r>
          </w:p>
        </w:tc>
        <w:tc>
          <w:tcPr>
            <w:tcW w:w="2447" w:type="dxa"/>
            <w:vAlign w:val="center"/>
          </w:tcPr>
          <w:p w14:paraId="1FCD26A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274.00 ± 340.39</w:t>
            </w:r>
          </w:p>
        </w:tc>
        <w:tc>
          <w:tcPr>
            <w:tcW w:w="0" w:type="auto"/>
            <w:gridSpan w:val="2"/>
            <w:vAlign w:val="center"/>
          </w:tcPr>
          <w:p w14:paraId="1C50AE5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0.379</w:t>
            </w:r>
          </w:p>
        </w:tc>
      </w:tr>
      <w:tr w14:paraId="4C50AAEE">
        <w:tblPrEx>
          <w:tblCellMar>
            <w:top w:w="15" w:type="dxa"/>
            <w:left w:w="15" w:type="dxa"/>
            <w:bottom w:w="15" w:type="dxa"/>
            <w:right w:w="15" w:type="dxa"/>
          </w:tblCellMar>
        </w:tblPrEx>
        <w:trPr>
          <w:tblCellSpacing w:w="15" w:type="dxa"/>
        </w:trPr>
        <w:tc>
          <w:tcPr>
            <w:tcW w:w="3276" w:type="dxa"/>
            <w:vAlign w:val="center"/>
          </w:tcPr>
          <w:p w14:paraId="0274B72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Total bilirubin (mg/dL)</w:t>
            </w:r>
          </w:p>
        </w:tc>
        <w:tc>
          <w:tcPr>
            <w:tcW w:w="2660" w:type="dxa"/>
            <w:vAlign w:val="center"/>
          </w:tcPr>
          <w:p w14:paraId="52A393B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0.42 ± 0.28</w:t>
            </w:r>
          </w:p>
        </w:tc>
        <w:tc>
          <w:tcPr>
            <w:tcW w:w="2447" w:type="dxa"/>
            <w:vAlign w:val="center"/>
          </w:tcPr>
          <w:p w14:paraId="6867661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0.38 ± 0.23</w:t>
            </w:r>
          </w:p>
        </w:tc>
        <w:tc>
          <w:tcPr>
            <w:tcW w:w="0" w:type="auto"/>
            <w:gridSpan w:val="2"/>
            <w:vAlign w:val="center"/>
          </w:tcPr>
          <w:p w14:paraId="61C48C8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0.372</w:t>
            </w:r>
          </w:p>
        </w:tc>
      </w:tr>
      <w:tr w14:paraId="0BBDBECC">
        <w:tblPrEx>
          <w:tblCellMar>
            <w:top w:w="15" w:type="dxa"/>
            <w:left w:w="15" w:type="dxa"/>
            <w:bottom w:w="15" w:type="dxa"/>
            <w:right w:w="15" w:type="dxa"/>
          </w:tblCellMar>
        </w:tblPrEx>
        <w:trPr>
          <w:tblCellSpacing w:w="15" w:type="dxa"/>
        </w:trPr>
        <w:tc>
          <w:tcPr>
            <w:tcW w:w="3276" w:type="dxa"/>
            <w:vAlign w:val="center"/>
          </w:tcPr>
          <w:p w14:paraId="4DBA3EA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Direct bilirubin (mg/dL)</w:t>
            </w:r>
          </w:p>
        </w:tc>
        <w:tc>
          <w:tcPr>
            <w:tcW w:w="2660" w:type="dxa"/>
            <w:vAlign w:val="center"/>
          </w:tcPr>
          <w:p w14:paraId="7D0296D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0.17 ± 0.15</w:t>
            </w:r>
          </w:p>
        </w:tc>
        <w:tc>
          <w:tcPr>
            <w:tcW w:w="2447" w:type="dxa"/>
            <w:vAlign w:val="center"/>
          </w:tcPr>
          <w:p w14:paraId="6761677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0.14 ± 0.14</w:t>
            </w:r>
          </w:p>
        </w:tc>
        <w:tc>
          <w:tcPr>
            <w:tcW w:w="0" w:type="auto"/>
            <w:gridSpan w:val="2"/>
            <w:vAlign w:val="center"/>
          </w:tcPr>
          <w:p w14:paraId="1ECBCE8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0.220</w:t>
            </w:r>
          </w:p>
        </w:tc>
      </w:tr>
      <w:tr w14:paraId="516387CE">
        <w:tblPrEx>
          <w:tblCellMar>
            <w:top w:w="15" w:type="dxa"/>
            <w:left w:w="15" w:type="dxa"/>
            <w:bottom w:w="15" w:type="dxa"/>
            <w:right w:w="15" w:type="dxa"/>
          </w:tblCellMar>
        </w:tblPrEx>
        <w:trPr>
          <w:tblCellSpacing w:w="15" w:type="dxa"/>
        </w:trPr>
        <w:tc>
          <w:tcPr>
            <w:tcW w:w="3276" w:type="dxa"/>
            <w:vAlign w:val="center"/>
          </w:tcPr>
          <w:p w14:paraId="094D57B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C-reactive protein (mg/L)</w:t>
            </w:r>
          </w:p>
        </w:tc>
        <w:tc>
          <w:tcPr>
            <w:tcW w:w="2660" w:type="dxa"/>
            <w:vAlign w:val="center"/>
          </w:tcPr>
          <w:p w14:paraId="772B363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3.60 ± 8.58</w:t>
            </w:r>
          </w:p>
        </w:tc>
        <w:tc>
          <w:tcPr>
            <w:tcW w:w="2447" w:type="dxa"/>
            <w:vAlign w:val="center"/>
          </w:tcPr>
          <w:p w14:paraId="4FCBA5E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45.06 ± 44.31</w:t>
            </w:r>
          </w:p>
        </w:tc>
        <w:tc>
          <w:tcPr>
            <w:tcW w:w="0" w:type="auto"/>
            <w:gridSpan w:val="2"/>
            <w:vAlign w:val="center"/>
          </w:tcPr>
          <w:p w14:paraId="52A9A674">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color w:val="FF0000"/>
                <w:sz w:val="24"/>
                <w:szCs w:val="24"/>
                <w:lang w:val="en-US"/>
              </w:rPr>
              <w:t>&lt;0.001*</w:t>
            </w:r>
          </w:p>
        </w:tc>
      </w:tr>
      <w:tr w14:paraId="1FDB7217">
        <w:tblPrEx>
          <w:tblCellMar>
            <w:top w:w="15" w:type="dxa"/>
            <w:left w:w="15" w:type="dxa"/>
            <w:bottom w:w="15" w:type="dxa"/>
            <w:right w:w="15" w:type="dxa"/>
          </w:tblCellMar>
        </w:tblPrEx>
        <w:trPr>
          <w:tblCellSpacing w:w="15" w:type="dxa"/>
        </w:trPr>
        <w:tc>
          <w:tcPr>
            <w:tcW w:w="3276" w:type="dxa"/>
            <w:vAlign w:val="center"/>
          </w:tcPr>
          <w:p w14:paraId="725DD79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Clinical presentation in cases, n (%)</w:t>
            </w:r>
          </w:p>
        </w:tc>
        <w:tc>
          <w:tcPr>
            <w:tcW w:w="2660" w:type="dxa"/>
            <w:vAlign w:val="center"/>
          </w:tcPr>
          <w:p w14:paraId="1525331F">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4F26EF9F">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23C38BEB">
            <w:pPr>
              <w:spacing w:after="0" w:line="240" w:lineRule="auto"/>
              <w:jc w:val="center"/>
              <w:rPr>
                <w:rFonts w:ascii="Times New Roman" w:hAnsi="Times New Roman" w:eastAsia="Times New Roman" w:cs="Times New Roman"/>
                <w:sz w:val="20"/>
                <w:szCs w:val="20"/>
                <w:lang w:val="en-US"/>
              </w:rPr>
            </w:pPr>
          </w:p>
        </w:tc>
      </w:tr>
      <w:tr w14:paraId="23ACCE5A">
        <w:tblPrEx>
          <w:tblCellMar>
            <w:top w:w="15" w:type="dxa"/>
            <w:left w:w="15" w:type="dxa"/>
            <w:bottom w:w="15" w:type="dxa"/>
            <w:right w:w="15" w:type="dxa"/>
          </w:tblCellMar>
        </w:tblPrEx>
        <w:trPr>
          <w:tblCellSpacing w:w="15" w:type="dxa"/>
        </w:trPr>
        <w:tc>
          <w:tcPr>
            <w:tcW w:w="3276" w:type="dxa"/>
            <w:vAlign w:val="center"/>
          </w:tcPr>
          <w:p w14:paraId="40B4AD4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Fever</w:t>
            </w:r>
          </w:p>
        </w:tc>
        <w:tc>
          <w:tcPr>
            <w:tcW w:w="2660" w:type="dxa"/>
            <w:vAlign w:val="center"/>
          </w:tcPr>
          <w:p w14:paraId="6E685D3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34CD4B2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50 (83.0)</w:t>
            </w:r>
          </w:p>
        </w:tc>
        <w:tc>
          <w:tcPr>
            <w:tcW w:w="0" w:type="auto"/>
            <w:gridSpan w:val="2"/>
            <w:vAlign w:val="center"/>
          </w:tcPr>
          <w:p w14:paraId="42C8929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792C6ED2">
        <w:tblPrEx>
          <w:tblCellMar>
            <w:top w:w="15" w:type="dxa"/>
            <w:left w:w="15" w:type="dxa"/>
            <w:bottom w:w="15" w:type="dxa"/>
            <w:right w:w="15" w:type="dxa"/>
          </w:tblCellMar>
        </w:tblPrEx>
        <w:trPr>
          <w:tblCellSpacing w:w="15" w:type="dxa"/>
        </w:trPr>
        <w:tc>
          <w:tcPr>
            <w:tcW w:w="3276" w:type="dxa"/>
            <w:vAlign w:val="center"/>
          </w:tcPr>
          <w:p w14:paraId="3775133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Difficulty of breathing</w:t>
            </w:r>
          </w:p>
        </w:tc>
        <w:tc>
          <w:tcPr>
            <w:tcW w:w="2660" w:type="dxa"/>
            <w:vAlign w:val="center"/>
          </w:tcPr>
          <w:p w14:paraId="216EC12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30F4DA6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45 (75.0)</w:t>
            </w:r>
          </w:p>
        </w:tc>
        <w:tc>
          <w:tcPr>
            <w:tcW w:w="0" w:type="auto"/>
            <w:gridSpan w:val="2"/>
            <w:vAlign w:val="center"/>
          </w:tcPr>
          <w:p w14:paraId="3C6B3DB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4E3572E2">
        <w:tblPrEx>
          <w:tblCellMar>
            <w:top w:w="15" w:type="dxa"/>
            <w:left w:w="15" w:type="dxa"/>
            <w:bottom w:w="15" w:type="dxa"/>
            <w:right w:w="15" w:type="dxa"/>
          </w:tblCellMar>
        </w:tblPrEx>
        <w:trPr>
          <w:tblCellSpacing w:w="15" w:type="dxa"/>
        </w:trPr>
        <w:tc>
          <w:tcPr>
            <w:tcW w:w="3276" w:type="dxa"/>
            <w:vAlign w:val="center"/>
          </w:tcPr>
          <w:p w14:paraId="38A4757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Dry cough</w:t>
            </w:r>
          </w:p>
        </w:tc>
        <w:tc>
          <w:tcPr>
            <w:tcW w:w="2660" w:type="dxa"/>
            <w:vAlign w:val="center"/>
          </w:tcPr>
          <w:p w14:paraId="183AFD6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2A18CBA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44 (73.0)</w:t>
            </w:r>
          </w:p>
        </w:tc>
        <w:tc>
          <w:tcPr>
            <w:tcW w:w="0" w:type="auto"/>
            <w:gridSpan w:val="2"/>
            <w:vAlign w:val="center"/>
          </w:tcPr>
          <w:p w14:paraId="1448F6E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07533459">
        <w:tblPrEx>
          <w:tblCellMar>
            <w:top w:w="15" w:type="dxa"/>
            <w:left w:w="15" w:type="dxa"/>
            <w:bottom w:w="15" w:type="dxa"/>
            <w:right w:w="15" w:type="dxa"/>
          </w:tblCellMar>
        </w:tblPrEx>
        <w:trPr>
          <w:tblCellSpacing w:w="15" w:type="dxa"/>
        </w:trPr>
        <w:tc>
          <w:tcPr>
            <w:tcW w:w="3276" w:type="dxa"/>
            <w:vAlign w:val="center"/>
          </w:tcPr>
          <w:p w14:paraId="738515F3">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Wet cough</w:t>
            </w:r>
          </w:p>
        </w:tc>
        <w:tc>
          <w:tcPr>
            <w:tcW w:w="2660" w:type="dxa"/>
            <w:vAlign w:val="center"/>
          </w:tcPr>
          <w:p w14:paraId="53A800E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6F37F1B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16 (27.0)</w:t>
            </w:r>
          </w:p>
        </w:tc>
        <w:tc>
          <w:tcPr>
            <w:tcW w:w="0" w:type="auto"/>
            <w:gridSpan w:val="2"/>
            <w:vAlign w:val="center"/>
          </w:tcPr>
          <w:p w14:paraId="5041CC9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72EE12F1">
        <w:tblPrEx>
          <w:tblCellMar>
            <w:top w:w="15" w:type="dxa"/>
            <w:left w:w="15" w:type="dxa"/>
            <w:bottom w:w="15" w:type="dxa"/>
            <w:right w:w="15" w:type="dxa"/>
          </w:tblCellMar>
        </w:tblPrEx>
        <w:trPr>
          <w:tblCellSpacing w:w="15" w:type="dxa"/>
        </w:trPr>
        <w:tc>
          <w:tcPr>
            <w:tcW w:w="3276" w:type="dxa"/>
            <w:vAlign w:val="center"/>
          </w:tcPr>
          <w:p w14:paraId="1E0BEC3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Previous hospital admission</w:t>
            </w:r>
          </w:p>
        </w:tc>
        <w:tc>
          <w:tcPr>
            <w:tcW w:w="2660" w:type="dxa"/>
            <w:vAlign w:val="center"/>
          </w:tcPr>
          <w:p w14:paraId="4A72929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286E67B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20 (33.3)</w:t>
            </w:r>
          </w:p>
        </w:tc>
        <w:tc>
          <w:tcPr>
            <w:tcW w:w="0" w:type="auto"/>
            <w:gridSpan w:val="2"/>
            <w:vAlign w:val="center"/>
          </w:tcPr>
          <w:p w14:paraId="2E8D046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2B8DE4F9">
        <w:tblPrEx>
          <w:tblCellMar>
            <w:top w:w="15" w:type="dxa"/>
            <w:left w:w="15" w:type="dxa"/>
            <w:bottom w:w="15" w:type="dxa"/>
            <w:right w:w="15" w:type="dxa"/>
          </w:tblCellMar>
        </w:tblPrEx>
        <w:trPr>
          <w:tblCellSpacing w:w="15" w:type="dxa"/>
        </w:trPr>
        <w:tc>
          <w:tcPr>
            <w:tcW w:w="3276" w:type="dxa"/>
            <w:vAlign w:val="center"/>
          </w:tcPr>
          <w:p w14:paraId="3259A49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Previous admission to NICU</w:t>
            </w:r>
          </w:p>
        </w:tc>
        <w:tc>
          <w:tcPr>
            <w:tcW w:w="2660" w:type="dxa"/>
            <w:vAlign w:val="center"/>
          </w:tcPr>
          <w:p w14:paraId="340CAE4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658740D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 (13.0)</w:t>
            </w:r>
          </w:p>
        </w:tc>
        <w:tc>
          <w:tcPr>
            <w:tcW w:w="0" w:type="auto"/>
            <w:gridSpan w:val="2"/>
            <w:vAlign w:val="center"/>
          </w:tcPr>
          <w:p w14:paraId="10D08BB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34DB0F9E">
        <w:tblPrEx>
          <w:tblCellMar>
            <w:top w:w="15" w:type="dxa"/>
            <w:left w:w="15" w:type="dxa"/>
            <w:bottom w:w="15" w:type="dxa"/>
            <w:right w:w="15" w:type="dxa"/>
          </w:tblCellMar>
        </w:tblPrEx>
        <w:trPr>
          <w:tblCellSpacing w:w="15" w:type="dxa"/>
        </w:trPr>
        <w:tc>
          <w:tcPr>
            <w:tcW w:w="3276" w:type="dxa"/>
            <w:vAlign w:val="center"/>
          </w:tcPr>
          <w:p w14:paraId="7D95DBF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Clinical respiratory score, n (%)</w:t>
            </w:r>
          </w:p>
        </w:tc>
        <w:tc>
          <w:tcPr>
            <w:tcW w:w="2660" w:type="dxa"/>
            <w:vAlign w:val="center"/>
          </w:tcPr>
          <w:p w14:paraId="7924F682">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1A11E0A0">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3AE3164B">
            <w:pPr>
              <w:spacing w:after="0" w:line="240" w:lineRule="auto"/>
              <w:jc w:val="center"/>
              <w:rPr>
                <w:rFonts w:ascii="Times New Roman" w:hAnsi="Times New Roman" w:eastAsia="Times New Roman" w:cs="Times New Roman"/>
                <w:sz w:val="20"/>
                <w:szCs w:val="20"/>
                <w:lang w:val="en-US"/>
              </w:rPr>
            </w:pPr>
          </w:p>
        </w:tc>
      </w:tr>
      <w:tr w14:paraId="75758E59">
        <w:tblPrEx>
          <w:tblCellMar>
            <w:top w:w="15" w:type="dxa"/>
            <w:left w:w="15" w:type="dxa"/>
            <w:bottom w:w="15" w:type="dxa"/>
            <w:right w:w="15" w:type="dxa"/>
          </w:tblCellMar>
        </w:tblPrEx>
        <w:trPr>
          <w:tblCellSpacing w:w="15" w:type="dxa"/>
        </w:trPr>
        <w:tc>
          <w:tcPr>
            <w:tcW w:w="3276" w:type="dxa"/>
            <w:vAlign w:val="center"/>
          </w:tcPr>
          <w:p w14:paraId="52F2E81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Mild (≤3)</w:t>
            </w:r>
          </w:p>
        </w:tc>
        <w:tc>
          <w:tcPr>
            <w:tcW w:w="2660" w:type="dxa"/>
            <w:vAlign w:val="center"/>
          </w:tcPr>
          <w:p w14:paraId="4BBF272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7F4CF63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 (23.4)</w:t>
            </w:r>
          </w:p>
        </w:tc>
        <w:tc>
          <w:tcPr>
            <w:tcW w:w="0" w:type="auto"/>
            <w:gridSpan w:val="2"/>
            <w:vAlign w:val="center"/>
          </w:tcPr>
          <w:p w14:paraId="468EF5B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285397A2">
        <w:tblPrEx>
          <w:tblCellMar>
            <w:top w:w="15" w:type="dxa"/>
            <w:left w:w="15" w:type="dxa"/>
            <w:bottom w:w="15" w:type="dxa"/>
            <w:right w:w="15" w:type="dxa"/>
          </w:tblCellMar>
        </w:tblPrEx>
        <w:trPr>
          <w:tblCellSpacing w:w="15" w:type="dxa"/>
        </w:trPr>
        <w:tc>
          <w:tcPr>
            <w:tcW w:w="3276" w:type="dxa"/>
            <w:vAlign w:val="center"/>
          </w:tcPr>
          <w:p w14:paraId="39E2EBD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Moderate (4-7)</w:t>
            </w:r>
          </w:p>
        </w:tc>
        <w:tc>
          <w:tcPr>
            <w:tcW w:w="2660" w:type="dxa"/>
            <w:vAlign w:val="center"/>
          </w:tcPr>
          <w:p w14:paraId="517F36C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1864702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20 (33.3)</w:t>
            </w:r>
          </w:p>
        </w:tc>
        <w:tc>
          <w:tcPr>
            <w:tcW w:w="0" w:type="auto"/>
            <w:gridSpan w:val="2"/>
            <w:vAlign w:val="center"/>
          </w:tcPr>
          <w:p w14:paraId="602FE43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2E02A6C2">
        <w:tblPrEx>
          <w:tblCellMar>
            <w:top w:w="15" w:type="dxa"/>
            <w:left w:w="15" w:type="dxa"/>
            <w:bottom w:w="15" w:type="dxa"/>
            <w:right w:w="15" w:type="dxa"/>
          </w:tblCellMar>
        </w:tblPrEx>
        <w:trPr>
          <w:tblCellSpacing w:w="15" w:type="dxa"/>
        </w:trPr>
        <w:tc>
          <w:tcPr>
            <w:tcW w:w="3276" w:type="dxa"/>
            <w:vAlign w:val="center"/>
          </w:tcPr>
          <w:p w14:paraId="29ECE06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Severe (8-12)</w:t>
            </w:r>
          </w:p>
        </w:tc>
        <w:tc>
          <w:tcPr>
            <w:tcW w:w="2660" w:type="dxa"/>
            <w:vAlign w:val="center"/>
          </w:tcPr>
          <w:p w14:paraId="7F6A360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28A847A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26 (43.3)</w:t>
            </w:r>
          </w:p>
        </w:tc>
        <w:tc>
          <w:tcPr>
            <w:tcW w:w="0" w:type="auto"/>
            <w:gridSpan w:val="2"/>
            <w:vAlign w:val="center"/>
          </w:tcPr>
          <w:p w14:paraId="5AD1645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592F5535">
        <w:tblPrEx>
          <w:tblCellMar>
            <w:top w:w="15" w:type="dxa"/>
            <w:left w:w="15" w:type="dxa"/>
            <w:bottom w:w="15" w:type="dxa"/>
            <w:right w:w="15" w:type="dxa"/>
          </w:tblCellMar>
        </w:tblPrEx>
        <w:trPr>
          <w:tblCellSpacing w:w="15" w:type="dxa"/>
        </w:trPr>
        <w:tc>
          <w:tcPr>
            <w:tcW w:w="3276" w:type="dxa"/>
            <w:vAlign w:val="center"/>
          </w:tcPr>
          <w:p w14:paraId="36C43BD1">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Chest X-ray findings, n (%)</w:t>
            </w:r>
          </w:p>
        </w:tc>
        <w:tc>
          <w:tcPr>
            <w:tcW w:w="2660" w:type="dxa"/>
            <w:vAlign w:val="center"/>
          </w:tcPr>
          <w:p w14:paraId="21378483">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69E36948">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544AEB3D">
            <w:pPr>
              <w:spacing w:after="0" w:line="240" w:lineRule="auto"/>
              <w:jc w:val="center"/>
              <w:rPr>
                <w:rFonts w:ascii="Times New Roman" w:hAnsi="Times New Roman" w:eastAsia="Times New Roman" w:cs="Times New Roman"/>
                <w:sz w:val="20"/>
                <w:szCs w:val="20"/>
                <w:lang w:val="en-US"/>
              </w:rPr>
            </w:pPr>
          </w:p>
        </w:tc>
      </w:tr>
      <w:tr w14:paraId="02F5DFBD">
        <w:tblPrEx>
          <w:tblCellMar>
            <w:top w:w="15" w:type="dxa"/>
            <w:left w:w="15" w:type="dxa"/>
            <w:bottom w:w="15" w:type="dxa"/>
            <w:right w:w="15" w:type="dxa"/>
          </w:tblCellMar>
        </w:tblPrEx>
        <w:trPr>
          <w:tblCellSpacing w:w="15" w:type="dxa"/>
        </w:trPr>
        <w:tc>
          <w:tcPr>
            <w:tcW w:w="3276" w:type="dxa"/>
            <w:vAlign w:val="center"/>
          </w:tcPr>
          <w:p w14:paraId="07E4A82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Bronchopneumonia</w:t>
            </w:r>
          </w:p>
        </w:tc>
        <w:tc>
          <w:tcPr>
            <w:tcW w:w="2660" w:type="dxa"/>
            <w:vAlign w:val="center"/>
          </w:tcPr>
          <w:p w14:paraId="6A128D3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64C1778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40 (67.7)</w:t>
            </w:r>
          </w:p>
        </w:tc>
        <w:tc>
          <w:tcPr>
            <w:tcW w:w="0" w:type="auto"/>
            <w:gridSpan w:val="2"/>
            <w:vAlign w:val="center"/>
          </w:tcPr>
          <w:p w14:paraId="6D12BD5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7D2DF25E">
        <w:tblPrEx>
          <w:tblCellMar>
            <w:top w:w="15" w:type="dxa"/>
            <w:left w:w="15" w:type="dxa"/>
            <w:bottom w:w="15" w:type="dxa"/>
            <w:right w:w="15" w:type="dxa"/>
          </w:tblCellMar>
        </w:tblPrEx>
        <w:trPr>
          <w:tblCellSpacing w:w="15" w:type="dxa"/>
        </w:trPr>
        <w:tc>
          <w:tcPr>
            <w:tcW w:w="3276" w:type="dxa"/>
            <w:vAlign w:val="center"/>
          </w:tcPr>
          <w:p w14:paraId="2D950D55">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Lobar pneumonia</w:t>
            </w:r>
          </w:p>
        </w:tc>
        <w:tc>
          <w:tcPr>
            <w:tcW w:w="2660" w:type="dxa"/>
            <w:vAlign w:val="center"/>
          </w:tcPr>
          <w:p w14:paraId="4A2D4E2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471BD13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20 (33.3)</w:t>
            </w:r>
          </w:p>
        </w:tc>
        <w:tc>
          <w:tcPr>
            <w:tcW w:w="0" w:type="auto"/>
            <w:gridSpan w:val="2"/>
            <w:vAlign w:val="center"/>
          </w:tcPr>
          <w:p w14:paraId="1136C4F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563EFD0F">
        <w:tblPrEx>
          <w:tblCellMar>
            <w:top w:w="15" w:type="dxa"/>
            <w:left w:w="15" w:type="dxa"/>
            <w:bottom w:w="15" w:type="dxa"/>
            <w:right w:w="15" w:type="dxa"/>
          </w:tblCellMar>
        </w:tblPrEx>
        <w:trPr>
          <w:tblCellSpacing w:w="15" w:type="dxa"/>
        </w:trPr>
        <w:tc>
          <w:tcPr>
            <w:tcW w:w="3276" w:type="dxa"/>
            <w:vAlign w:val="center"/>
          </w:tcPr>
          <w:p w14:paraId="66B7EF6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Outcomes, n (%)</w:t>
            </w:r>
          </w:p>
        </w:tc>
        <w:tc>
          <w:tcPr>
            <w:tcW w:w="2660" w:type="dxa"/>
            <w:vAlign w:val="center"/>
          </w:tcPr>
          <w:p w14:paraId="3968ABAC">
            <w:pPr>
              <w:spacing w:after="0" w:line="240" w:lineRule="auto"/>
              <w:jc w:val="center"/>
              <w:rPr>
                <w:rFonts w:ascii="Times New Roman" w:hAnsi="Times New Roman" w:eastAsia="Times New Roman" w:cs="Times New Roman"/>
                <w:sz w:val="24"/>
                <w:szCs w:val="24"/>
                <w:lang w:val="en-US"/>
              </w:rPr>
            </w:pPr>
          </w:p>
        </w:tc>
        <w:tc>
          <w:tcPr>
            <w:tcW w:w="2447" w:type="dxa"/>
            <w:vAlign w:val="center"/>
          </w:tcPr>
          <w:p w14:paraId="7F8EAA1D">
            <w:pPr>
              <w:spacing w:after="0" w:line="240" w:lineRule="auto"/>
              <w:jc w:val="center"/>
              <w:rPr>
                <w:rFonts w:ascii="Times New Roman" w:hAnsi="Times New Roman" w:eastAsia="Times New Roman" w:cs="Times New Roman"/>
                <w:sz w:val="20"/>
                <w:szCs w:val="20"/>
                <w:lang w:val="en-US"/>
              </w:rPr>
            </w:pPr>
          </w:p>
        </w:tc>
        <w:tc>
          <w:tcPr>
            <w:tcW w:w="0" w:type="auto"/>
            <w:gridSpan w:val="2"/>
            <w:vAlign w:val="center"/>
          </w:tcPr>
          <w:p w14:paraId="1F21296D">
            <w:pPr>
              <w:spacing w:after="0" w:line="240" w:lineRule="auto"/>
              <w:jc w:val="center"/>
              <w:rPr>
                <w:rFonts w:ascii="Times New Roman" w:hAnsi="Times New Roman" w:eastAsia="Times New Roman" w:cs="Times New Roman"/>
                <w:sz w:val="20"/>
                <w:szCs w:val="20"/>
                <w:lang w:val="en-US"/>
              </w:rPr>
            </w:pPr>
          </w:p>
        </w:tc>
      </w:tr>
      <w:tr w14:paraId="204295E3">
        <w:tblPrEx>
          <w:tblCellMar>
            <w:top w:w="15" w:type="dxa"/>
            <w:left w:w="15" w:type="dxa"/>
            <w:bottom w:w="15" w:type="dxa"/>
            <w:right w:w="15" w:type="dxa"/>
          </w:tblCellMar>
        </w:tblPrEx>
        <w:trPr>
          <w:tblCellSpacing w:w="15" w:type="dxa"/>
        </w:trPr>
        <w:tc>
          <w:tcPr>
            <w:tcW w:w="3276" w:type="dxa"/>
            <w:vAlign w:val="center"/>
          </w:tcPr>
          <w:p w14:paraId="497F06B5">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ICU admission</w:t>
            </w:r>
          </w:p>
        </w:tc>
        <w:tc>
          <w:tcPr>
            <w:tcW w:w="2660" w:type="dxa"/>
            <w:vAlign w:val="center"/>
          </w:tcPr>
          <w:p w14:paraId="29313AE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60AE628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28 (46.7)</w:t>
            </w:r>
          </w:p>
        </w:tc>
        <w:tc>
          <w:tcPr>
            <w:tcW w:w="0" w:type="auto"/>
            <w:gridSpan w:val="2"/>
            <w:vAlign w:val="center"/>
          </w:tcPr>
          <w:p w14:paraId="1D06930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08D482DD">
        <w:tblPrEx>
          <w:tblCellMar>
            <w:top w:w="15" w:type="dxa"/>
            <w:left w:w="15" w:type="dxa"/>
            <w:bottom w:w="15" w:type="dxa"/>
            <w:right w:w="15" w:type="dxa"/>
          </w:tblCellMar>
        </w:tblPrEx>
        <w:trPr>
          <w:tblCellSpacing w:w="15" w:type="dxa"/>
        </w:trPr>
        <w:tc>
          <w:tcPr>
            <w:tcW w:w="3276" w:type="dxa"/>
            <w:vAlign w:val="center"/>
          </w:tcPr>
          <w:p w14:paraId="357CD6F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Mechanical ventilation</w:t>
            </w:r>
          </w:p>
        </w:tc>
        <w:tc>
          <w:tcPr>
            <w:tcW w:w="2660" w:type="dxa"/>
            <w:vAlign w:val="center"/>
          </w:tcPr>
          <w:p w14:paraId="1150AA9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5EAD0DF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25 (41.6)</w:t>
            </w:r>
          </w:p>
        </w:tc>
        <w:tc>
          <w:tcPr>
            <w:tcW w:w="0" w:type="auto"/>
            <w:gridSpan w:val="2"/>
            <w:vAlign w:val="center"/>
          </w:tcPr>
          <w:p w14:paraId="2FFC9B0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78AB95FD">
        <w:tblPrEx>
          <w:tblCellMar>
            <w:top w:w="15" w:type="dxa"/>
            <w:left w:w="15" w:type="dxa"/>
            <w:bottom w:w="15" w:type="dxa"/>
            <w:right w:w="15" w:type="dxa"/>
          </w:tblCellMar>
        </w:tblPrEx>
        <w:trPr>
          <w:tblCellSpacing w:w="15" w:type="dxa"/>
        </w:trPr>
        <w:tc>
          <w:tcPr>
            <w:tcW w:w="3276" w:type="dxa"/>
            <w:vAlign w:val="center"/>
          </w:tcPr>
          <w:p w14:paraId="5BACFC8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Mortality</w:t>
            </w:r>
          </w:p>
        </w:tc>
        <w:tc>
          <w:tcPr>
            <w:tcW w:w="2660" w:type="dxa"/>
            <w:vAlign w:val="center"/>
          </w:tcPr>
          <w:p w14:paraId="166183C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c>
          <w:tcPr>
            <w:tcW w:w="2447" w:type="dxa"/>
            <w:vAlign w:val="center"/>
          </w:tcPr>
          <w:p w14:paraId="3608C82D">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 (6.7)</w:t>
            </w:r>
          </w:p>
        </w:tc>
        <w:tc>
          <w:tcPr>
            <w:tcW w:w="0" w:type="auto"/>
            <w:gridSpan w:val="2"/>
            <w:vAlign w:val="center"/>
          </w:tcPr>
          <w:p w14:paraId="09F4354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tc>
      </w:tr>
      <w:tr w14:paraId="033B0697">
        <w:tblPrEx>
          <w:tblCellMar>
            <w:top w:w="15" w:type="dxa"/>
            <w:left w:w="15" w:type="dxa"/>
            <w:bottom w:w="15" w:type="dxa"/>
            <w:right w:w="15" w:type="dxa"/>
          </w:tblCellMar>
        </w:tblPrEx>
        <w:trPr>
          <w:tblCellSpacing w:w="15" w:type="dxa"/>
        </w:trPr>
        <w:tc>
          <w:tcPr>
            <w:tcW w:w="3276" w:type="dxa"/>
            <w:vAlign w:val="center"/>
          </w:tcPr>
          <w:p w14:paraId="69A5FE8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Hematological parameters</w:t>
            </w:r>
          </w:p>
        </w:tc>
        <w:tc>
          <w:tcPr>
            <w:tcW w:w="2660" w:type="dxa"/>
            <w:vAlign w:val="center"/>
          </w:tcPr>
          <w:p w14:paraId="20223F03">
            <w:pPr>
              <w:spacing w:after="0" w:line="240" w:lineRule="auto"/>
              <w:jc w:val="center"/>
              <w:rPr>
                <w:rFonts w:ascii="Times New Roman" w:hAnsi="Times New Roman" w:eastAsia="Times New Roman" w:cs="Times New Roman"/>
                <w:sz w:val="24"/>
                <w:szCs w:val="24"/>
                <w:lang w:val="en-US"/>
              </w:rPr>
            </w:pPr>
          </w:p>
        </w:tc>
        <w:tc>
          <w:tcPr>
            <w:tcW w:w="2477" w:type="dxa"/>
            <w:gridSpan w:val="2"/>
            <w:vAlign w:val="center"/>
          </w:tcPr>
          <w:p w14:paraId="5CD811E2">
            <w:pPr>
              <w:spacing w:after="0" w:line="240" w:lineRule="auto"/>
              <w:jc w:val="center"/>
              <w:rPr>
                <w:rFonts w:ascii="Times New Roman" w:hAnsi="Times New Roman" w:eastAsia="Times New Roman" w:cs="Times New Roman"/>
                <w:sz w:val="20"/>
                <w:szCs w:val="20"/>
                <w:lang w:val="en-US"/>
              </w:rPr>
            </w:pPr>
          </w:p>
        </w:tc>
        <w:tc>
          <w:tcPr>
            <w:tcW w:w="827" w:type="dxa"/>
            <w:vAlign w:val="center"/>
          </w:tcPr>
          <w:p w14:paraId="6832E2FE">
            <w:pPr>
              <w:spacing w:after="0" w:line="240" w:lineRule="auto"/>
              <w:jc w:val="center"/>
              <w:rPr>
                <w:rFonts w:ascii="Times New Roman" w:hAnsi="Times New Roman" w:eastAsia="Times New Roman" w:cs="Times New Roman"/>
                <w:sz w:val="20"/>
                <w:szCs w:val="20"/>
                <w:lang w:val="en-US"/>
              </w:rPr>
            </w:pPr>
          </w:p>
        </w:tc>
      </w:tr>
      <w:tr w14:paraId="608FCB02">
        <w:tblPrEx>
          <w:tblCellMar>
            <w:top w:w="15" w:type="dxa"/>
            <w:left w:w="15" w:type="dxa"/>
            <w:bottom w:w="15" w:type="dxa"/>
            <w:right w:w="15" w:type="dxa"/>
          </w:tblCellMar>
        </w:tblPrEx>
        <w:trPr>
          <w:tblCellSpacing w:w="15" w:type="dxa"/>
        </w:trPr>
        <w:tc>
          <w:tcPr>
            <w:tcW w:w="3276" w:type="dxa"/>
            <w:vAlign w:val="center"/>
          </w:tcPr>
          <w:p w14:paraId="0A7879F1">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WBCs (/L)</w:t>
            </w:r>
          </w:p>
        </w:tc>
        <w:tc>
          <w:tcPr>
            <w:tcW w:w="2660" w:type="dxa"/>
            <w:vAlign w:val="center"/>
          </w:tcPr>
          <w:p w14:paraId="4AEAD70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9993.58 ± 3287.02</w:t>
            </w:r>
          </w:p>
        </w:tc>
        <w:tc>
          <w:tcPr>
            <w:tcW w:w="2477" w:type="dxa"/>
            <w:gridSpan w:val="2"/>
            <w:vAlign w:val="center"/>
          </w:tcPr>
          <w:p w14:paraId="2E4865D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14233.08 ± 4698.30</w:t>
            </w:r>
          </w:p>
        </w:tc>
        <w:tc>
          <w:tcPr>
            <w:tcW w:w="827" w:type="dxa"/>
            <w:vAlign w:val="center"/>
          </w:tcPr>
          <w:p w14:paraId="2A7834D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0AD89CA8">
        <w:tblPrEx>
          <w:tblCellMar>
            <w:top w:w="15" w:type="dxa"/>
            <w:left w:w="15" w:type="dxa"/>
            <w:bottom w:w="15" w:type="dxa"/>
            <w:right w:w="15" w:type="dxa"/>
          </w:tblCellMar>
        </w:tblPrEx>
        <w:trPr>
          <w:tblCellSpacing w:w="15" w:type="dxa"/>
        </w:trPr>
        <w:tc>
          <w:tcPr>
            <w:tcW w:w="3276" w:type="dxa"/>
            <w:vAlign w:val="center"/>
          </w:tcPr>
          <w:p w14:paraId="076C00B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w:t>
            </w:r>
          </w:p>
        </w:tc>
        <w:tc>
          <w:tcPr>
            <w:tcW w:w="2660" w:type="dxa"/>
            <w:vAlign w:val="center"/>
          </w:tcPr>
          <w:p w14:paraId="55634E8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54.36 ± 15.89</w:t>
            </w:r>
          </w:p>
        </w:tc>
        <w:tc>
          <w:tcPr>
            <w:tcW w:w="2477" w:type="dxa"/>
            <w:gridSpan w:val="2"/>
            <w:vAlign w:val="center"/>
          </w:tcPr>
          <w:p w14:paraId="5DC8952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57.57 ± 6.92</w:t>
            </w:r>
          </w:p>
        </w:tc>
        <w:tc>
          <w:tcPr>
            <w:tcW w:w="827" w:type="dxa"/>
            <w:vAlign w:val="center"/>
          </w:tcPr>
          <w:p w14:paraId="730E68D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0.153</w:t>
            </w:r>
          </w:p>
        </w:tc>
      </w:tr>
      <w:tr w14:paraId="6C895FD0">
        <w:tblPrEx>
          <w:tblCellMar>
            <w:top w:w="15" w:type="dxa"/>
            <w:left w:w="15" w:type="dxa"/>
            <w:bottom w:w="15" w:type="dxa"/>
            <w:right w:w="15" w:type="dxa"/>
          </w:tblCellMar>
        </w:tblPrEx>
        <w:trPr>
          <w:tblCellSpacing w:w="15" w:type="dxa"/>
        </w:trPr>
        <w:tc>
          <w:tcPr>
            <w:tcW w:w="3276" w:type="dxa"/>
            <w:vAlign w:val="center"/>
          </w:tcPr>
          <w:p w14:paraId="32FE9473">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Lymphocytes (%)</w:t>
            </w:r>
          </w:p>
        </w:tc>
        <w:tc>
          <w:tcPr>
            <w:tcW w:w="2660" w:type="dxa"/>
            <w:vAlign w:val="center"/>
          </w:tcPr>
          <w:p w14:paraId="6B91DB3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34.20 ± 12.35</w:t>
            </w:r>
          </w:p>
        </w:tc>
        <w:tc>
          <w:tcPr>
            <w:tcW w:w="2477" w:type="dxa"/>
            <w:gridSpan w:val="2"/>
            <w:vAlign w:val="center"/>
          </w:tcPr>
          <w:p w14:paraId="5592B15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31.96 ± 8.12</w:t>
            </w:r>
          </w:p>
        </w:tc>
        <w:tc>
          <w:tcPr>
            <w:tcW w:w="827" w:type="dxa"/>
            <w:vAlign w:val="center"/>
          </w:tcPr>
          <w:p w14:paraId="77AABFB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0.244</w:t>
            </w:r>
          </w:p>
        </w:tc>
      </w:tr>
      <w:tr w14:paraId="67D7F388">
        <w:tblPrEx>
          <w:tblCellMar>
            <w:top w:w="15" w:type="dxa"/>
            <w:left w:w="15" w:type="dxa"/>
            <w:bottom w:w="15" w:type="dxa"/>
            <w:right w:w="15" w:type="dxa"/>
          </w:tblCellMar>
        </w:tblPrEx>
        <w:trPr>
          <w:tblCellSpacing w:w="15" w:type="dxa"/>
        </w:trPr>
        <w:tc>
          <w:tcPr>
            <w:tcW w:w="3276" w:type="dxa"/>
            <w:vAlign w:val="center"/>
          </w:tcPr>
          <w:p w14:paraId="6D2D9F7A">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Monocytes (%)</w:t>
            </w:r>
          </w:p>
        </w:tc>
        <w:tc>
          <w:tcPr>
            <w:tcW w:w="2660" w:type="dxa"/>
            <w:vAlign w:val="center"/>
          </w:tcPr>
          <w:p w14:paraId="0A4C015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6.36 ± 1.91</w:t>
            </w:r>
          </w:p>
        </w:tc>
        <w:tc>
          <w:tcPr>
            <w:tcW w:w="2477" w:type="dxa"/>
            <w:gridSpan w:val="2"/>
            <w:vAlign w:val="center"/>
          </w:tcPr>
          <w:p w14:paraId="20DBF70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5.70 ± 0.74</w:t>
            </w:r>
          </w:p>
        </w:tc>
        <w:tc>
          <w:tcPr>
            <w:tcW w:w="827" w:type="dxa"/>
            <w:vAlign w:val="center"/>
          </w:tcPr>
          <w:p w14:paraId="31A025D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0.014</w:t>
            </w:r>
          </w:p>
        </w:tc>
      </w:tr>
      <w:tr w14:paraId="26E2AC1E">
        <w:tblPrEx>
          <w:tblCellMar>
            <w:top w:w="15" w:type="dxa"/>
            <w:left w:w="15" w:type="dxa"/>
            <w:bottom w:w="15" w:type="dxa"/>
            <w:right w:w="15" w:type="dxa"/>
          </w:tblCellMar>
        </w:tblPrEx>
        <w:trPr>
          <w:tblCellSpacing w:w="15" w:type="dxa"/>
        </w:trPr>
        <w:tc>
          <w:tcPr>
            <w:tcW w:w="3276" w:type="dxa"/>
            <w:vAlign w:val="center"/>
          </w:tcPr>
          <w:p w14:paraId="62A6871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Hemoglobin (g/L)</w:t>
            </w:r>
          </w:p>
        </w:tc>
        <w:tc>
          <w:tcPr>
            <w:tcW w:w="2660" w:type="dxa"/>
            <w:vAlign w:val="center"/>
          </w:tcPr>
          <w:p w14:paraId="299A542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9.48 ± 0.88</w:t>
            </w:r>
          </w:p>
        </w:tc>
        <w:tc>
          <w:tcPr>
            <w:tcW w:w="2477" w:type="dxa"/>
            <w:gridSpan w:val="2"/>
            <w:vAlign w:val="center"/>
          </w:tcPr>
          <w:p w14:paraId="209B363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9.71 ± 1.57</w:t>
            </w:r>
          </w:p>
        </w:tc>
        <w:tc>
          <w:tcPr>
            <w:tcW w:w="827" w:type="dxa"/>
            <w:vAlign w:val="center"/>
          </w:tcPr>
          <w:p w14:paraId="7D7C5C0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0.327</w:t>
            </w:r>
          </w:p>
        </w:tc>
      </w:tr>
      <w:tr w14:paraId="20854057">
        <w:tblPrEx>
          <w:tblCellMar>
            <w:top w:w="15" w:type="dxa"/>
            <w:left w:w="15" w:type="dxa"/>
            <w:bottom w:w="15" w:type="dxa"/>
            <w:right w:w="15" w:type="dxa"/>
          </w:tblCellMar>
        </w:tblPrEx>
        <w:trPr>
          <w:tblCellSpacing w:w="15" w:type="dxa"/>
        </w:trPr>
        <w:tc>
          <w:tcPr>
            <w:tcW w:w="3276" w:type="dxa"/>
            <w:vAlign w:val="center"/>
          </w:tcPr>
          <w:p w14:paraId="60F1CA3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Platelets (/L)</w:t>
            </w:r>
          </w:p>
        </w:tc>
        <w:tc>
          <w:tcPr>
            <w:tcW w:w="2660" w:type="dxa"/>
            <w:vAlign w:val="center"/>
          </w:tcPr>
          <w:p w14:paraId="36E8BA7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468050.00 ± 221943.75</w:t>
            </w:r>
          </w:p>
        </w:tc>
        <w:tc>
          <w:tcPr>
            <w:tcW w:w="2477" w:type="dxa"/>
            <w:gridSpan w:val="2"/>
            <w:vAlign w:val="center"/>
          </w:tcPr>
          <w:p w14:paraId="1945359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317666.66 ± 104715.05</w:t>
            </w:r>
          </w:p>
        </w:tc>
        <w:tc>
          <w:tcPr>
            <w:tcW w:w="827" w:type="dxa"/>
            <w:vAlign w:val="center"/>
          </w:tcPr>
          <w:p w14:paraId="0F252EE8">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452E9A67">
        <w:tblPrEx>
          <w:tblCellMar>
            <w:top w:w="15" w:type="dxa"/>
            <w:left w:w="15" w:type="dxa"/>
            <w:bottom w:w="15" w:type="dxa"/>
            <w:right w:w="15" w:type="dxa"/>
          </w:tblCellMar>
        </w:tblPrEx>
        <w:trPr>
          <w:tblCellSpacing w:w="15" w:type="dxa"/>
        </w:trPr>
        <w:tc>
          <w:tcPr>
            <w:tcW w:w="3276" w:type="dxa"/>
            <w:vAlign w:val="center"/>
          </w:tcPr>
          <w:p w14:paraId="33021D1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Biochemical parameters</w:t>
            </w:r>
          </w:p>
        </w:tc>
        <w:tc>
          <w:tcPr>
            <w:tcW w:w="2660" w:type="dxa"/>
            <w:vAlign w:val="center"/>
          </w:tcPr>
          <w:p w14:paraId="73224913">
            <w:pPr>
              <w:spacing w:after="0" w:line="240" w:lineRule="auto"/>
              <w:jc w:val="center"/>
              <w:rPr>
                <w:rFonts w:ascii="Times New Roman" w:hAnsi="Times New Roman" w:eastAsia="Times New Roman" w:cs="Times New Roman"/>
                <w:sz w:val="24"/>
                <w:szCs w:val="24"/>
                <w:lang w:val="en-US"/>
              </w:rPr>
            </w:pPr>
          </w:p>
        </w:tc>
        <w:tc>
          <w:tcPr>
            <w:tcW w:w="2477" w:type="dxa"/>
            <w:gridSpan w:val="2"/>
            <w:vAlign w:val="center"/>
          </w:tcPr>
          <w:p w14:paraId="055A62AE">
            <w:pPr>
              <w:spacing w:after="0" w:line="240" w:lineRule="auto"/>
              <w:jc w:val="center"/>
              <w:rPr>
                <w:rFonts w:ascii="Times New Roman" w:hAnsi="Times New Roman" w:eastAsia="Times New Roman" w:cs="Times New Roman"/>
                <w:sz w:val="20"/>
                <w:szCs w:val="20"/>
                <w:lang w:val="en-US"/>
              </w:rPr>
            </w:pPr>
          </w:p>
        </w:tc>
        <w:tc>
          <w:tcPr>
            <w:tcW w:w="827" w:type="dxa"/>
            <w:vAlign w:val="center"/>
          </w:tcPr>
          <w:p w14:paraId="77885B97">
            <w:pPr>
              <w:spacing w:after="0" w:line="240" w:lineRule="auto"/>
              <w:jc w:val="center"/>
              <w:rPr>
                <w:rFonts w:ascii="Times New Roman" w:hAnsi="Times New Roman" w:eastAsia="Times New Roman" w:cs="Times New Roman"/>
                <w:b/>
                <w:bCs/>
                <w:color w:val="FF0000"/>
                <w:sz w:val="20"/>
                <w:szCs w:val="20"/>
                <w:lang w:val="en-US"/>
              </w:rPr>
            </w:pPr>
          </w:p>
        </w:tc>
      </w:tr>
      <w:tr w14:paraId="7DE21DAA">
        <w:tblPrEx>
          <w:tblCellMar>
            <w:top w:w="15" w:type="dxa"/>
            <w:left w:w="15" w:type="dxa"/>
            <w:bottom w:w="15" w:type="dxa"/>
            <w:right w:w="15" w:type="dxa"/>
          </w:tblCellMar>
        </w:tblPrEx>
        <w:trPr>
          <w:tblCellSpacing w:w="15" w:type="dxa"/>
        </w:trPr>
        <w:tc>
          <w:tcPr>
            <w:tcW w:w="3276" w:type="dxa"/>
            <w:vAlign w:val="center"/>
          </w:tcPr>
          <w:p w14:paraId="27E646A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C-reactive protein (mg/L)</w:t>
            </w:r>
          </w:p>
        </w:tc>
        <w:tc>
          <w:tcPr>
            <w:tcW w:w="2660" w:type="dxa"/>
            <w:vAlign w:val="center"/>
          </w:tcPr>
          <w:p w14:paraId="483110F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3.60 ± 8.58</w:t>
            </w:r>
          </w:p>
        </w:tc>
        <w:tc>
          <w:tcPr>
            <w:tcW w:w="2477" w:type="dxa"/>
            <w:gridSpan w:val="2"/>
            <w:vAlign w:val="center"/>
          </w:tcPr>
          <w:p w14:paraId="1D65AD1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45.06 ± 44.31</w:t>
            </w:r>
          </w:p>
        </w:tc>
        <w:tc>
          <w:tcPr>
            <w:tcW w:w="827" w:type="dxa"/>
            <w:vAlign w:val="center"/>
          </w:tcPr>
          <w:p w14:paraId="60AD92B5">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5D287CA5">
        <w:tblPrEx>
          <w:tblCellMar>
            <w:top w:w="15" w:type="dxa"/>
            <w:left w:w="15" w:type="dxa"/>
            <w:bottom w:w="15" w:type="dxa"/>
            <w:right w:w="15" w:type="dxa"/>
          </w:tblCellMar>
        </w:tblPrEx>
        <w:trPr>
          <w:tblCellSpacing w:w="15" w:type="dxa"/>
        </w:trPr>
        <w:tc>
          <w:tcPr>
            <w:tcW w:w="3276" w:type="dxa"/>
            <w:vAlign w:val="center"/>
          </w:tcPr>
          <w:p w14:paraId="669902E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Total proteins (g/dL)</w:t>
            </w:r>
          </w:p>
        </w:tc>
        <w:tc>
          <w:tcPr>
            <w:tcW w:w="2660" w:type="dxa"/>
            <w:vAlign w:val="center"/>
          </w:tcPr>
          <w:p w14:paraId="1710895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6.81 ± 1.16</w:t>
            </w:r>
          </w:p>
        </w:tc>
        <w:tc>
          <w:tcPr>
            <w:tcW w:w="2477" w:type="dxa"/>
            <w:gridSpan w:val="2"/>
            <w:vAlign w:val="center"/>
          </w:tcPr>
          <w:p w14:paraId="7070D3D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5.70 ± 1.11</w:t>
            </w:r>
          </w:p>
        </w:tc>
        <w:tc>
          <w:tcPr>
            <w:tcW w:w="827" w:type="dxa"/>
            <w:vAlign w:val="center"/>
          </w:tcPr>
          <w:p w14:paraId="337CFDFC">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033382B7">
        <w:tblPrEx>
          <w:tblCellMar>
            <w:top w:w="15" w:type="dxa"/>
            <w:left w:w="15" w:type="dxa"/>
            <w:bottom w:w="15" w:type="dxa"/>
            <w:right w:w="15" w:type="dxa"/>
          </w:tblCellMar>
        </w:tblPrEx>
        <w:trPr>
          <w:tblCellSpacing w:w="15" w:type="dxa"/>
        </w:trPr>
        <w:tc>
          <w:tcPr>
            <w:tcW w:w="3276" w:type="dxa"/>
            <w:vAlign w:val="center"/>
          </w:tcPr>
          <w:p w14:paraId="7542A67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Albumin (g/dL)</w:t>
            </w:r>
          </w:p>
        </w:tc>
        <w:tc>
          <w:tcPr>
            <w:tcW w:w="2660" w:type="dxa"/>
            <w:vAlign w:val="center"/>
          </w:tcPr>
          <w:p w14:paraId="18F861D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3.88 ± 0.33</w:t>
            </w:r>
          </w:p>
        </w:tc>
        <w:tc>
          <w:tcPr>
            <w:tcW w:w="2477" w:type="dxa"/>
            <w:gridSpan w:val="2"/>
            <w:vAlign w:val="center"/>
          </w:tcPr>
          <w:p w14:paraId="0BCD794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3.56 ± 0.77</w:t>
            </w:r>
          </w:p>
        </w:tc>
        <w:tc>
          <w:tcPr>
            <w:tcW w:w="827" w:type="dxa"/>
            <w:vAlign w:val="center"/>
          </w:tcPr>
          <w:p w14:paraId="64B15C6C">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0.004*</w:t>
            </w:r>
          </w:p>
        </w:tc>
      </w:tr>
      <w:tr w14:paraId="3B0AB8DF">
        <w:tblPrEx>
          <w:tblCellMar>
            <w:top w:w="15" w:type="dxa"/>
            <w:left w:w="15" w:type="dxa"/>
            <w:bottom w:w="15" w:type="dxa"/>
            <w:right w:w="15" w:type="dxa"/>
          </w:tblCellMar>
        </w:tblPrEx>
        <w:trPr>
          <w:tblCellSpacing w:w="15" w:type="dxa"/>
        </w:trPr>
        <w:tc>
          <w:tcPr>
            <w:tcW w:w="3276" w:type="dxa"/>
            <w:vAlign w:val="center"/>
          </w:tcPr>
          <w:p w14:paraId="6A2A540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Non-classic biomarkers</w:t>
            </w:r>
          </w:p>
        </w:tc>
        <w:tc>
          <w:tcPr>
            <w:tcW w:w="2660" w:type="dxa"/>
            <w:vAlign w:val="center"/>
          </w:tcPr>
          <w:p w14:paraId="74E6C7E4">
            <w:pPr>
              <w:spacing w:after="0" w:line="240" w:lineRule="auto"/>
              <w:jc w:val="center"/>
              <w:rPr>
                <w:rFonts w:ascii="Times New Roman" w:hAnsi="Times New Roman" w:eastAsia="Times New Roman" w:cs="Times New Roman"/>
                <w:sz w:val="24"/>
                <w:szCs w:val="24"/>
                <w:lang w:val="en-US"/>
              </w:rPr>
            </w:pPr>
          </w:p>
        </w:tc>
        <w:tc>
          <w:tcPr>
            <w:tcW w:w="2477" w:type="dxa"/>
            <w:gridSpan w:val="2"/>
            <w:vAlign w:val="center"/>
          </w:tcPr>
          <w:p w14:paraId="548F78E0">
            <w:pPr>
              <w:spacing w:after="0" w:line="240" w:lineRule="auto"/>
              <w:jc w:val="center"/>
              <w:rPr>
                <w:rFonts w:ascii="Times New Roman" w:hAnsi="Times New Roman" w:eastAsia="Times New Roman" w:cs="Times New Roman"/>
                <w:sz w:val="20"/>
                <w:szCs w:val="20"/>
                <w:lang w:val="en-US"/>
              </w:rPr>
            </w:pPr>
          </w:p>
        </w:tc>
        <w:tc>
          <w:tcPr>
            <w:tcW w:w="827" w:type="dxa"/>
            <w:vAlign w:val="center"/>
          </w:tcPr>
          <w:p w14:paraId="1F1D1DBE">
            <w:pPr>
              <w:spacing w:after="0" w:line="240" w:lineRule="auto"/>
              <w:jc w:val="center"/>
              <w:rPr>
                <w:rFonts w:ascii="Times New Roman" w:hAnsi="Times New Roman" w:eastAsia="Times New Roman" w:cs="Times New Roman"/>
                <w:b/>
                <w:bCs/>
                <w:color w:val="FF0000"/>
                <w:sz w:val="20"/>
                <w:szCs w:val="20"/>
                <w:lang w:val="en-US"/>
              </w:rPr>
            </w:pPr>
          </w:p>
        </w:tc>
      </w:tr>
      <w:tr w14:paraId="7A89BF4B">
        <w:tblPrEx>
          <w:tblCellMar>
            <w:top w:w="15" w:type="dxa"/>
            <w:left w:w="15" w:type="dxa"/>
            <w:bottom w:w="15" w:type="dxa"/>
            <w:right w:w="15" w:type="dxa"/>
          </w:tblCellMar>
        </w:tblPrEx>
        <w:trPr>
          <w:tblCellSpacing w:w="15" w:type="dxa"/>
        </w:trPr>
        <w:tc>
          <w:tcPr>
            <w:tcW w:w="3276" w:type="dxa"/>
            <w:vAlign w:val="center"/>
          </w:tcPr>
          <w:p w14:paraId="25631B5B">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w:t>
            </w:r>
          </w:p>
        </w:tc>
        <w:tc>
          <w:tcPr>
            <w:tcW w:w="2660" w:type="dxa"/>
            <w:vAlign w:val="center"/>
          </w:tcPr>
          <w:p w14:paraId="661D2B7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359.84 ± 57.48</w:t>
            </w:r>
          </w:p>
        </w:tc>
        <w:tc>
          <w:tcPr>
            <w:tcW w:w="2477" w:type="dxa"/>
            <w:gridSpan w:val="2"/>
            <w:vAlign w:val="center"/>
          </w:tcPr>
          <w:p w14:paraId="0818E03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692.67 ± 326.26</w:t>
            </w:r>
          </w:p>
        </w:tc>
        <w:tc>
          <w:tcPr>
            <w:tcW w:w="827" w:type="dxa"/>
            <w:vAlign w:val="center"/>
          </w:tcPr>
          <w:p w14:paraId="3D5ED7CE">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6CF541D5">
        <w:tblPrEx>
          <w:tblCellMar>
            <w:top w:w="15" w:type="dxa"/>
            <w:left w:w="15" w:type="dxa"/>
            <w:bottom w:w="15" w:type="dxa"/>
            <w:right w:w="15" w:type="dxa"/>
          </w:tblCellMar>
        </w:tblPrEx>
        <w:trPr>
          <w:tblCellSpacing w:w="15" w:type="dxa"/>
        </w:trPr>
        <w:tc>
          <w:tcPr>
            <w:tcW w:w="3276" w:type="dxa"/>
            <w:vAlign w:val="center"/>
          </w:tcPr>
          <w:p w14:paraId="117C88B3">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 / Monocytes CD64-FITC ratio</w:t>
            </w:r>
          </w:p>
        </w:tc>
        <w:tc>
          <w:tcPr>
            <w:tcW w:w="2660" w:type="dxa"/>
            <w:vAlign w:val="center"/>
          </w:tcPr>
          <w:p w14:paraId="7194F69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0.34 ± 0.14</w:t>
            </w:r>
          </w:p>
        </w:tc>
        <w:tc>
          <w:tcPr>
            <w:tcW w:w="2477" w:type="dxa"/>
            <w:gridSpan w:val="2"/>
            <w:vAlign w:val="center"/>
          </w:tcPr>
          <w:p w14:paraId="7AC50E9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1.03 ± 1.24</w:t>
            </w:r>
          </w:p>
        </w:tc>
        <w:tc>
          <w:tcPr>
            <w:tcW w:w="827" w:type="dxa"/>
            <w:vAlign w:val="center"/>
          </w:tcPr>
          <w:p w14:paraId="74CCB97F">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r w14:paraId="1F787882">
        <w:tblPrEx>
          <w:tblCellMar>
            <w:top w:w="15" w:type="dxa"/>
            <w:left w:w="15" w:type="dxa"/>
            <w:bottom w:w="15" w:type="dxa"/>
            <w:right w:w="15" w:type="dxa"/>
          </w:tblCellMar>
        </w:tblPrEx>
        <w:trPr>
          <w:tblCellSpacing w:w="15" w:type="dxa"/>
        </w:trPr>
        <w:tc>
          <w:tcPr>
            <w:tcW w:w="3276" w:type="dxa"/>
            <w:vAlign w:val="center"/>
          </w:tcPr>
          <w:p w14:paraId="17EB7C9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 / Lymphocytes CD64-FITC ratio</w:t>
            </w:r>
          </w:p>
        </w:tc>
        <w:tc>
          <w:tcPr>
            <w:tcW w:w="2660" w:type="dxa"/>
            <w:vAlign w:val="center"/>
          </w:tcPr>
          <w:p w14:paraId="4017A29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4.58 ± 1.93</w:t>
            </w:r>
          </w:p>
        </w:tc>
        <w:tc>
          <w:tcPr>
            <w:tcW w:w="2477" w:type="dxa"/>
            <w:gridSpan w:val="2"/>
            <w:vAlign w:val="center"/>
          </w:tcPr>
          <w:p w14:paraId="65C47C3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28.66 ± 26.98</w:t>
            </w:r>
          </w:p>
        </w:tc>
        <w:tc>
          <w:tcPr>
            <w:tcW w:w="827" w:type="dxa"/>
            <w:vAlign w:val="center"/>
          </w:tcPr>
          <w:p w14:paraId="3DDE97F5">
            <w:pPr>
              <w:spacing w:after="0" w:line="240" w:lineRule="auto"/>
              <w:jc w:val="center"/>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&lt;0.001*</w:t>
            </w:r>
          </w:p>
        </w:tc>
      </w:tr>
    </w:tbl>
    <w:p w14:paraId="6BB3D948">
      <w:pPr>
        <w:spacing w:before="100" w:beforeAutospacing="1" w:after="100" w:afterAutospacing="1" w:line="24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C-reactive protein; WBCs: white blood cells; RBCs: red blood cells; MCV: mean corpuscular volume; MCH: mean corpuscular hemoglobin; MCHC: mean corpuscular hemoglobin concentration; BUN: blood urea nitrogen; ALT: alanine aminotransferase; AST: aspartate aminotransferase; ALP: alkaline phosphatase; NICU: neonatal intensive care unit; ICU: intensive care unit.</w:t>
      </w:r>
    </w:p>
    <w:p w14:paraId="6DA398FD">
      <w:pPr>
        <w:spacing w:before="100" w:beforeAutospacing="1" w:after="100" w:afterAutospacing="1" w:line="24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P-values were calculated using chi-square test for categorical variables and Student's t-test for continuous variables. *P&lt;0.05 was considered statistically significant.</w:t>
      </w:r>
    </w:p>
    <w:p w14:paraId="3831093D">
      <w:pPr>
        <w:spacing w:after="200" w:line="276" w:lineRule="auto"/>
        <w:rPr>
          <w:lang w:val="en-US"/>
        </w:rPr>
      </w:pPr>
    </w:p>
    <w:p w14:paraId="4C3C2F38">
      <w:pPr>
        <w:spacing w:after="200" w:line="276" w:lineRule="auto"/>
        <w:rPr>
          <w:lang w:val="en-US"/>
        </w:rPr>
      </w:pPr>
    </w:p>
    <w:p w14:paraId="3BEC4AD0">
      <w:pPr>
        <w:spacing w:after="200" w:line="276" w:lineRule="auto"/>
        <w:rPr>
          <w:lang w:val="en-US"/>
        </w:rPr>
      </w:pPr>
    </w:p>
    <w:p w14:paraId="72FEF4BC">
      <w:pPr>
        <w:spacing w:after="200" w:line="276" w:lineRule="auto"/>
        <w:rPr>
          <w:lang w:val="en-US"/>
        </w:rPr>
      </w:pPr>
    </w:p>
    <w:p w14:paraId="39FFD512">
      <w:pPr>
        <w:spacing w:after="200" w:line="276" w:lineRule="auto"/>
        <w:rPr>
          <w:lang w:val="en-US"/>
        </w:rPr>
      </w:pPr>
    </w:p>
    <w:p w14:paraId="269DE849">
      <w:pPr>
        <w:spacing w:after="200" w:line="276" w:lineRule="auto"/>
        <w:rPr>
          <w:lang w:val="en-US"/>
        </w:rPr>
      </w:pPr>
    </w:p>
    <w:p w14:paraId="12E4FCB5">
      <w:pPr>
        <w:spacing w:after="200" w:line="276" w:lineRule="auto"/>
        <w:rPr>
          <w:lang w:val="en-US"/>
        </w:rPr>
      </w:pPr>
    </w:p>
    <w:p w14:paraId="75BF6A77">
      <w:pPr>
        <w:spacing w:after="200" w:line="276" w:lineRule="auto"/>
        <w:rPr>
          <w:lang w:val="en-US"/>
        </w:rPr>
      </w:pPr>
    </w:p>
    <w:p w14:paraId="4B6458B5">
      <w:pPr>
        <w:spacing w:after="200" w:line="276" w:lineRule="auto"/>
        <w:rPr>
          <w:lang w:val="en-US"/>
        </w:rPr>
      </w:pPr>
    </w:p>
    <w:p w14:paraId="63ABECCC">
      <w:pPr>
        <w:spacing w:after="200" w:line="276" w:lineRule="auto"/>
        <w:rPr>
          <w:lang w:val="en-US"/>
        </w:rPr>
      </w:pPr>
    </w:p>
    <w:p w14:paraId="70131894">
      <w:pPr>
        <w:spacing w:after="200" w:line="276" w:lineRule="auto"/>
        <w:rPr>
          <w:lang w:val="en-US"/>
        </w:rPr>
      </w:pPr>
    </w:p>
    <w:p w14:paraId="27A2E8AB">
      <w:pPr>
        <w:spacing w:after="200" w:line="276" w:lineRule="auto"/>
        <w:rPr>
          <w:lang w:val="en-US"/>
        </w:rPr>
      </w:pPr>
    </w:p>
    <w:p w14:paraId="2FC4A830">
      <w:pPr>
        <w:spacing w:after="200" w:line="276" w:lineRule="auto"/>
        <w:rPr>
          <w:lang w:val="en-US"/>
        </w:rPr>
        <w:sectPr>
          <w:pgSz w:w="12240" w:h="15840"/>
          <w:pgMar w:top="1440" w:right="1440" w:bottom="1440" w:left="1440" w:header="720" w:footer="720" w:gutter="0"/>
          <w:cols w:space="720" w:num="1"/>
          <w:docGrid w:linePitch="360" w:charSpace="0"/>
        </w:sectPr>
      </w:pPr>
    </w:p>
    <w:p w14:paraId="2674F887">
      <w:pPr>
        <w:spacing w:after="200" w:line="276" w:lineRule="auto"/>
        <w:rPr>
          <w:lang w:val="en-US"/>
        </w:rPr>
      </w:pPr>
    </w:p>
    <w:p w14:paraId="706F2AA2">
      <w:pPr>
        <w:spacing w:after="20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w:t>
      </w:r>
      <w:r>
        <w:rPr>
          <w:rFonts w:hint="default" w:asciiTheme="majorBidi" w:hAnsiTheme="majorBidi" w:cstheme="majorBidi"/>
          <w:sz w:val="24"/>
          <w:szCs w:val="24"/>
          <w:lang w:val="en-US"/>
        </w:rPr>
        <w:t>2</w:t>
      </w:r>
      <w:r>
        <w:rPr>
          <w:rFonts w:asciiTheme="majorBidi" w:hAnsiTheme="majorBidi" w:cstheme="majorBidi"/>
          <w:sz w:val="24"/>
          <w:szCs w:val="24"/>
          <w:lang w:val="en-US"/>
        </w:rPr>
        <w:t xml:space="preserve"> demonstrates significant associations between biomarkers and clinical outcomes in pediatric pneumonia. Patients with prolonged hospitalization (&gt;1 week) showed significantly elevated CRP and increased CD64 ratios. ICU admission was associated with higher inflammatory markers, particularly CRP (64.74±51.32 vs. 27.84±28.07 mg/L, p=0.001) . Similarly, mechanical ventilation requirement correlated with elevated CRP (p=0.001) and increased neutrophil/monocyte CD64 ratio (p=0.020), indicating enhanced neutrophil activation in critically ill patients.</w:t>
      </w:r>
    </w:p>
    <w:p w14:paraId="73C36FA6">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Table </w:t>
      </w:r>
      <w:r>
        <w:rPr>
          <w:rFonts w:hint="default" w:ascii="Times New Roman" w:hAnsi="Times New Roman" w:eastAsia="Times New Roman" w:cs="Times New Roman"/>
          <w:b/>
          <w:bCs/>
          <w:sz w:val="24"/>
          <w:szCs w:val="24"/>
          <w:lang w:val="en-US"/>
        </w:rPr>
        <w:t>2</w:t>
      </w:r>
      <w:r>
        <w:rPr>
          <w:rFonts w:ascii="Times New Roman" w:hAnsi="Times New Roman" w:eastAsia="Times New Roman" w:cs="Times New Roman"/>
          <w:b/>
          <w:bCs/>
          <w:sz w:val="24"/>
          <w:szCs w:val="24"/>
          <w:lang w:val="en-US"/>
        </w:rPr>
        <w:t>. Association of Biomarkers with Disease Severity and Clinical Outcomes in Pediatric Pneumonia Cases</w:t>
      </w:r>
    </w:p>
    <w:tbl>
      <w:tblPr>
        <w:tblStyle w:val="8"/>
        <w:tblW w:w="14505" w:type="dxa"/>
        <w:tblCellSpacing w:w="15" w:type="dxa"/>
        <w:tblInd w:w="-765" w:type="dxa"/>
        <w:tblLayout w:type="autofit"/>
        <w:tblCellMar>
          <w:top w:w="15" w:type="dxa"/>
          <w:left w:w="15" w:type="dxa"/>
          <w:bottom w:w="15" w:type="dxa"/>
          <w:right w:w="15" w:type="dxa"/>
        </w:tblCellMar>
      </w:tblPr>
      <w:tblGrid>
        <w:gridCol w:w="3322"/>
        <w:gridCol w:w="1483"/>
        <w:gridCol w:w="1488"/>
        <w:gridCol w:w="791"/>
        <w:gridCol w:w="1391"/>
        <w:gridCol w:w="1391"/>
        <w:gridCol w:w="665"/>
        <w:gridCol w:w="1595"/>
        <w:gridCol w:w="1595"/>
        <w:gridCol w:w="784"/>
      </w:tblGrid>
      <w:tr w14:paraId="7B6DD5E2">
        <w:tblPrEx>
          <w:tblCellMar>
            <w:top w:w="15" w:type="dxa"/>
            <w:left w:w="15" w:type="dxa"/>
            <w:bottom w:w="15" w:type="dxa"/>
            <w:right w:w="15" w:type="dxa"/>
          </w:tblCellMar>
        </w:tblPrEx>
        <w:trPr>
          <w:trHeight w:val="1145" w:hRule="atLeast"/>
          <w:tblCellSpacing w:w="15" w:type="dxa"/>
        </w:trPr>
        <w:tc>
          <w:tcPr>
            <w:tcW w:w="0" w:type="auto"/>
            <w:tcBorders>
              <w:top w:val="single" w:color="auto" w:sz="12" w:space="0"/>
              <w:bottom w:val="single" w:color="auto" w:sz="12" w:space="0"/>
            </w:tcBorders>
            <w:vAlign w:val="center"/>
          </w:tcPr>
          <w:p w14:paraId="2B9F3B9A">
            <w:pPr>
              <w:spacing w:after="0" w:line="240" w:lineRule="auto"/>
              <w:jc w:val="center"/>
              <w:rPr>
                <w:rFonts w:ascii="Times New Roman" w:hAnsi="Times New Roman" w:eastAsia="Times New Roman" w:cs="Times New Roman"/>
                <w:b/>
                <w:bCs/>
                <w:lang w:val="en-US"/>
              </w:rPr>
            </w:pPr>
            <w:r>
              <w:rPr>
                <w:rFonts w:ascii="Times New Roman" w:hAnsi="Times New Roman" w:eastAsia="Times New Roman" w:cs="Times New Roman"/>
                <w:b/>
                <w:bCs/>
                <w:lang w:val="en-US"/>
              </w:rPr>
              <w:t>Biomarker</w:t>
            </w:r>
          </w:p>
        </w:tc>
        <w:tc>
          <w:tcPr>
            <w:tcW w:w="0" w:type="auto"/>
            <w:gridSpan w:val="3"/>
            <w:tcBorders>
              <w:top w:val="single" w:color="auto" w:sz="12" w:space="0"/>
              <w:bottom w:val="single" w:color="auto" w:sz="12" w:space="0"/>
            </w:tcBorders>
            <w:vAlign w:val="center"/>
          </w:tcPr>
          <w:p w14:paraId="16BE4602">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Hospital Stay Duration</w:t>
            </w:r>
          </w:p>
        </w:tc>
        <w:tc>
          <w:tcPr>
            <w:tcW w:w="0" w:type="auto"/>
            <w:gridSpan w:val="3"/>
            <w:tcBorders>
              <w:top w:val="single" w:color="auto" w:sz="12" w:space="0"/>
              <w:bottom w:val="single" w:color="auto" w:sz="12" w:space="0"/>
            </w:tcBorders>
            <w:vAlign w:val="center"/>
          </w:tcPr>
          <w:p w14:paraId="1C908402">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ICU Admission</w:t>
            </w:r>
          </w:p>
        </w:tc>
        <w:tc>
          <w:tcPr>
            <w:tcW w:w="3967" w:type="dxa"/>
            <w:gridSpan w:val="3"/>
            <w:tcBorders>
              <w:top w:val="single" w:color="auto" w:sz="12" w:space="0"/>
              <w:bottom w:val="single" w:color="auto" w:sz="12" w:space="0"/>
            </w:tcBorders>
            <w:vAlign w:val="center"/>
          </w:tcPr>
          <w:p w14:paraId="6F250CED">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Mechanical Ventilation</w:t>
            </w:r>
          </w:p>
        </w:tc>
      </w:tr>
      <w:tr w14:paraId="7B150ADA">
        <w:tblPrEx>
          <w:tblCellMar>
            <w:top w:w="15" w:type="dxa"/>
            <w:left w:w="15" w:type="dxa"/>
            <w:bottom w:w="15" w:type="dxa"/>
            <w:right w:w="15" w:type="dxa"/>
          </w:tblCellMar>
        </w:tblPrEx>
        <w:trPr>
          <w:trHeight w:val="557" w:hRule="atLeast"/>
          <w:tblCellSpacing w:w="15" w:type="dxa"/>
        </w:trPr>
        <w:tc>
          <w:tcPr>
            <w:tcW w:w="0" w:type="auto"/>
            <w:vAlign w:val="center"/>
          </w:tcPr>
          <w:p w14:paraId="3FB32D9F">
            <w:pPr>
              <w:spacing w:after="0" w:line="240" w:lineRule="auto"/>
              <w:jc w:val="center"/>
              <w:rPr>
                <w:rFonts w:ascii="Times New Roman" w:hAnsi="Times New Roman" w:eastAsia="Times New Roman" w:cs="Times New Roman"/>
                <w:lang w:val="en-US"/>
              </w:rPr>
            </w:pPr>
          </w:p>
        </w:tc>
        <w:tc>
          <w:tcPr>
            <w:tcW w:w="0" w:type="auto"/>
            <w:vAlign w:val="center"/>
          </w:tcPr>
          <w:p w14:paraId="57EA039A">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≤1 week (n=29)</w:t>
            </w:r>
          </w:p>
        </w:tc>
        <w:tc>
          <w:tcPr>
            <w:tcW w:w="0" w:type="auto"/>
            <w:vAlign w:val="center"/>
          </w:tcPr>
          <w:p w14:paraId="479918CA">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&gt;1 week (n=31)</w:t>
            </w:r>
          </w:p>
        </w:tc>
        <w:tc>
          <w:tcPr>
            <w:tcW w:w="0" w:type="auto"/>
            <w:vAlign w:val="center"/>
          </w:tcPr>
          <w:p w14:paraId="5758E229">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p</w:t>
            </w:r>
          </w:p>
        </w:tc>
        <w:tc>
          <w:tcPr>
            <w:tcW w:w="0" w:type="auto"/>
            <w:vAlign w:val="center"/>
          </w:tcPr>
          <w:p w14:paraId="07E92480">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No (n=32)</w:t>
            </w:r>
          </w:p>
        </w:tc>
        <w:tc>
          <w:tcPr>
            <w:tcW w:w="0" w:type="auto"/>
            <w:vAlign w:val="center"/>
          </w:tcPr>
          <w:p w14:paraId="162A01AB">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Yes (n=28)</w:t>
            </w:r>
          </w:p>
        </w:tc>
        <w:tc>
          <w:tcPr>
            <w:tcW w:w="0" w:type="auto"/>
            <w:vAlign w:val="center"/>
          </w:tcPr>
          <w:p w14:paraId="648EB551">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p</w:t>
            </w:r>
          </w:p>
        </w:tc>
        <w:tc>
          <w:tcPr>
            <w:tcW w:w="0" w:type="auto"/>
            <w:vAlign w:val="center"/>
          </w:tcPr>
          <w:p w14:paraId="51CEC71B">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No (n=35)</w:t>
            </w:r>
          </w:p>
        </w:tc>
        <w:tc>
          <w:tcPr>
            <w:tcW w:w="0" w:type="auto"/>
            <w:vAlign w:val="center"/>
          </w:tcPr>
          <w:p w14:paraId="04B9391E">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Yes (n=25)</w:t>
            </w:r>
          </w:p>
        </w:tc>
        <w:tc>
          <w:tcPr>
            <w:tcW w:w="635" w:type="dxa"/>
            <w:vAlign w:val="center"/>
          </w:tcPr>
          <w:p w14:paraId="50D0F35D">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b/>
                <w:bCs/>
                <w:lang w:val="en-US"/>
              </w:rPr>
              <w:t>p</w:t>
            </w:r>
          </w:p>
        </w:tc>
      </w:tr>
      <w:tr w14:paraId="28D86786">
        <w:tblPrEx>
          <w:tblCellMar>
            <w:top w:w="15" w:type="dxa"/>
            <w:left w:w="15" w:type="dxa"/>
            <w:bottom w:w="15" w:type="dxa"/>
            <w:right w:w="15" w:type="dxa"/>
          </w:tblCellMar>
        </w:tblPrEx>
        <w:trPr>
          <w:trHeight w:val="572" w:hRule="atLeast"/>
          <w:tblCellSpacing w:w="15" w:type="dxa"/>
        </w:trPr>
        <w:tc>
          <w:tcPr>
            <w:tcW w:w="0" w:type="auto"/>
            <w:vAlign w:val="center"/>
          </w:tcPr>
          <w:p w14:paraId="714E45C1">
            <w:pPr>
              <w:spacing w:after="0" w:line="240" w:lineRule="auto"/>
              <w:rPr>
                <w:rFonts w:ascii="Times New Roman" w:hAnsi="Times New Roman" w:eastAsia="Times New Roman" w:cs="Times New Roman"/>
                <w:lang w:val="en-US"/>
              </w:rPr>
            </w:pPr>
            <w:r>
              <w:rPr>
                <w:rFonts w:ascii="Times New Roman" w:hAnsi="Times New Roman" w:eastAsia="Times New Roman" w:cs="Times New Roman"/>
                <w:lang w:val="en-US"/>
              </w:rPr>
              <w:t>CRP (mg/L)</w:t>
            </w:r>
          </w:p>
        </w:tc>
        <w:tc>
          <w:tcPr>
            <w:tcW w:w="0" w:type="auto"/>
            <w:vAlign w:val="center"/>
          </w:tcPr>
          <w:p w14:paraId="62D6E0FE">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23.77±24.01</w:t>
            </w:r>
          </w:p>
        </w:tc>
        <w:tc>
          <w:tcPr>
            <w:tcW w:w="0" w:type="auto"/>
            <w:vAlign w:val="center"/>
          </w:tcPr>
          <w:p w14:paraId="68824F0E">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64.98±49.76</w:t>
            </w:r>
          </w:p>
        </w:tc>
        <w:tc>
          <w:tcPr>
            <w:tcW w:w="0" w:type="auto"/>
            <w:vAlign w:val="center"/>
          </w:tcPr>
          <w:p w14:paraId="6A1FC3AB">
            <w:pPr>
              <w:spacing w:after="0" w:line="240" w:lineRule="auto"/>
              <w:jc w:val="center"/>
              <w:rPr>
                <w:rFonts w:ascii="Times New Roman" w:hAnsi="Times New Roman" w:eastAsia="Times New Roman" w:cs="Times New Roman"/>
                <w:b/>
                <w:bCs/>
                <w:color w:val="FF0000"/>
                <w:lang w:val="en-US"/>
              </w:rPr>
            </w:pPr>
            <w:r>
              <w:rPr>
                <w:rFonts w:ascii="Times New Roman" w:hAnsi="Times New Roman" w:eastAsia="Times New Roman" w:cs="Times New Roman"/>
                <w:b/>
                <w:bCs/>
                <w:color w:val="FF0000"/>
                <w:lang w:val="en-US"/>
              </w:rPr>
              <w:t>&lt;0.001*</w:t>
            </w:r>
          </w:p>
        </w:tc>
        <w:tc>
          <w:tcPr>
            <w:tcW w:w="0" w:type="auto"/>
            <w:vAlign w:val="center"/>
          </w:tcPr>
          <w:p w14:paraId="5FA2736D">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27.84±28.07</w:t>
            </w:r>
          </w:p>
        </w:tc>
        <w:tc>
          <w:tcPr>
            <w:tcW w:w="0" w:type="auto"/>
            <w:vAlign w:val="center"/>
          </w:tcPr>
          <w:p w14:paraId="7633038C">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64.74±51.32</w:t>
            </w:r>
          </w:p>
        </w:tc>
        <w:tc>
          <w:tcPr>
            <w:tcW w:w="0" w:type="auto"/>
            <w:vAlign w:val="center"/>
          </w:tcPr>
          <w:p w14:paraId="1E1C01BB">
            <w:pPr>
              <w:spacing w:after="0" w:line="240" w:lineRule="auto"/>
              <w:jc w:val="center"/>
              <w:rPr>
                <w:rFonts w:ascii="Times New Roman" w:hAnsi="Times New Roman" w:eastAsia="Times New Roman" w:cs="Times New Roman"/>
                <w:b/>
                <w:bCs/>
                <w:color w:val="FF0000"/>
                <w:lang w:val="en-US"/>
              </w:rPr>
            </w:pPr>
            <w:r>
              <w:rPr>
                <w:rFonts w:ascii="Times New Roman" w:hAnsi="Times New Roman" w:eastAsia="Times New Roman" w:cs="Times New Roman"/>
                <w:b/>
                <w:bCs/>
                <w:color w:val="FF0000"/>
                <w:lang w:val="en-US"/>
              </w:rPr>
              <w:t>0.001*</w:t>
            </w:r>
          </w:p>
        </w:tc>
        <w:tc>
          <w:tcPr>
            <w:tcW w:w="0" w:type="auto"/>
            <w:vAlign w:val="center"/>
          </w:tcPr>
          <w:p w14:paraId="337B1DC1">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28.91±27.07</w:t>
            </w:r>
          </w:p>
        </w:tc>
        <w:tc>
          <w:tcPr>
            <w:tcW w:w="0" w:type="auto"/>
            <w:vAlign w:val="center"/>
          </w:tcPr>
          <w:p w14:paraId="15313F25">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67.67±53.63</w:t>
            </w:r>
          </w:p>
        </w:tc>
        <w:tc>
          <w:tcPr>
            <w:tcW w:w="635" w:type="dxa"/>
            <w:vAlign w:val="center"/>
          </w:tcPr>
          <w:p w14:paraId="1D50339A">
            <w:pPr>
              <w:spacing w:after="0" w:line="240" w:lineRule="auto"/>
              <w:jc w:val="center"/>
              <w:rPr>
                <w:rFonts w:ascii="Times New Roman" w:hAnsi="Times New Roman" w:eastAsia="Times New Roman" w:cs="Times New Roman"/>
                <w:b/>
                <w:bCs/>
                <w:color w:val="FF0000"/>
                <w:lang w:val="en-US"/>
              </w:rPr>
            </w:pPr>
            <w:r>
              <w:rPr>
                <w:rFonts w:ascii="Times New Roman" w:hAnsi="Times New Roman" w:eastAsia="Times New Roman" w:cs="Times New Roman"/>
                <w:b/>
                <w:bCs/>
                <w:color w:val="FF0000"/>
                <w:lang w:val="en-US"/>
              </w:rPr>
              <w:t>0.001*</w:t>
            </w:r>
          </w:p>
        </w:tc>
      </w:tr>
      <w:tr w14:paraId="04B29640">
        <w:tblPrEx>
          <w:tblCellMar>
            <w:top w:w="15" w:type="dxa"/>
            <w:left w:w="15" w:type="dxa"/>
            <w:bottom w:w="15" w:type="dxa"/>
            <w:right w:w="15" w:type="dxa"/>
          </w:tblCellMar>
        </w:tblPrEx>
        <w:trPr>
          <w:trHeight w:val="572" w:hRule="atLeast"/>
          <w:tblCellSpacing w:w="15" w:type="dxa"/>
        </w:trPr>
        <w:tc>
          <w:tcPr>
            <w:tcW w:w="0" w:type="auto"/>
            <w:vAlign w:val="center"/>
          </w:tcPr>
          <w:p w14:paraId="11084B96">
            <w:pPr>
              <w:spacing w:after="0" w:line="240" w:lineRule="auto"/>
              <w:rPr>
                <w:rFonts w:ascii="Times New Roman" w:hAnsi="Times New Roman" w:eastAsia="Times New Roman" w:cs="Times New Roman"/>
                <w:lang w:val="en-US"/>
              </w:rPr>
            </w:pPr>
            <w:r>
              <w:rPr>
                <w:rFonts w:ascii="Times New Roman" w:hAnsi="Times New Roman" w:eastAsia="Times New Roman" w:cs="Times New Roman"/>
                <w:lang w:val="en-US"/>
              </w:rPr>
              <w:t>Neutrophils CD64-FITC</w:t>
            </w:r>
          </w:p>
        </w:tc>
        <w:tc>
          <w:tcPr>
            <w:tcW w:w="0" w:type="auto"/>
            <w:vAlign w:val="center"/>
          </w:tcPr>
          <w:p w14:paraId="06486D0C">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612.99±223.72</w:t>
            </w:r>
          </w:p>
        </w:tc>
        <w:tc>
          <w:tcPr>
            <w:tcW w:w="0" w:type="auto"/>
            <w:vAlign w:val="center"/>
          </w:tcPr>
          <w:p w14:paraId="238C17A3">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767.21±388.27</w:t>
            </w:r>
          </w:p>
        </w:tc>
        <w:tc>
          <w:tcPr>
            <w:tcW w:w="0" w:type="auto"/>
            <w:vAlign w:val="center"/>
          </w:tcPr>
          <w:p w14:paraId="50739D7C">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0.063</w:t>
            </w:r>
          </w:p>
        </w:tc>
        <w:tc>
          <w:tcPr>
            <w:tcW w:w="0" w:type="auto"/>
            <w:vAlign w:val="center"/>
          </w:tcPr>
          <w:p w14:paraId="7E6D6CA5">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618.69±216.78</w:t>
            </w:r>
          </w:p>
        </w:tc>
        <w:tc>
          <w:tcPr>
            <w:tcW w:w="0" w:type="auto"/>
            <w:vAlign w:val="center"/>
          </w:tcPr>
          <w:p w14:paraId="46EDE489">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777.23±405.89</w:t>
            </w:r>
          </w:p>
        </w:tc>
        <w:tc>
          <w:tcPr>
            <w:tcW w:w="0" w:type="auto"/>
            <w:vAlign w:val="center"/>
          </w:tcPr>
          <w:p w14:paraId="2F653982">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0.060</w:t>
            </w:r>
          </w:p>
        </w:tc>
        <w:tc>
          <w:tcPr>
            <w:tcW w:w="0" w:type="auto"/>
            <w:vAlign w:val="center"/>
          </w:tcPr>
          <w:p w14:paraId="595BEC9E">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627.97±209.78</w:t>
            </w:r>
          </w:p>
        </w:tc>
        <w:tc>
          <w:tcPr>
            <w:tcW w:w="0" w:type="auto"/>
            <w:vAlign w:val="center"/>
          </w:tcPr>
          <w:p w14:paraId="369152AC">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783.26±429.75</w:t>
            </w:r>
          </w:p>
        </w:tc>
        <w:tc>
          <w:tcPr>
            <w:tcW w:w="635" w:type="dxa"/>
            <w:vAlign w:val="center"/>
          </w:tcPr>
          <w:p w14:paraId="001D7232">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0.105</w:t>
            </w:r>
          </w:p>
        </w:tc>
      </w:tr>
      <w:tr w14:paraId="5930E2C7">
        <w:tblPrEx>
          <w:tblCellMar>
            <w:top w:w="15" w:type="dxa"/>
            <w:left w:w="15" w:type="dxa"/>
            <w:bottom w:w="15" w:type="dxa"/>
            <w:right w:w="15" w:type="dxa"/>
          </w:tblCellMar>
        </w:tblPrEx>
        <w:trPr>
          <w:trHeight w:val="851" w:hRule="atLeast"/>
          <w:tblCellSpacing w:w="15" w:type="dxa"/>
        </w:trPr>
        <w:tc>
          <w:tcPr>
            <w:tcW w:w="0" w:type="auto"/>
            <w:vAlign w:val="center"/>
          </w:tcPr>
          <w:p w14:paraId="523ABD90">
            <w:pPr>
              <w:spacing w:after="0" w:line="240" w:lineRule="auto"/>
              <w:rPr>
                <w:rFonts w:ascii="Times New Roman" w:hAnsi="Times New Roman" w:eastAsia="Times New Roman" w:cs="Times New Roman"/>
                <w:lang w:val="en-US"/>
              </w:rPr>
            </w:pPr>
            <w:r>
              <w:rPr>
                <w:rFonts w:ascii="Times New Roman" w:hAnsi="Times New Roman" w:eastAsia="Times New Roman" w:cs="Times New Roman"/>
                <w:lang w:val="en-US"/>
              </w:rPr>
              <w:t>Neutrophils/Monocytes CD64 ratio</w:t>
            </w:r>
          </w:p>
        </w:tc>
        <w:tc>
          <w:tcPr>
            <w:tcW w:w="0" w:type="auto"/>
            <w:vAlign w:val="center"/>
          </w:tcPr>
          <w:p w14:paraId="32871AE3">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0.69±0.51</w:t>
            </w:r>
          </w:p>
        </w:tc>
        <w:tc>
          <w:tcPr>
            <w:tcW w:w="0" w:type="auto"/>
            <w:vAlign w:val="center"/>
          </w:tcPr>
          <w:p w14:paraId="041F346F">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1.35±1.59</w:t>
            </w:r>
          </w:p>
        </w:tc>
        <w:tc>
          <w:tcPr>
            <w:tcW w:w="0" w:type="auto"/>
            <w:vAlign w:val="center"/>
          </w:tcPr>
          <w:p w14:paraId="3C2B421E">
            <w:pPr>
              <w:spacing w:after="0" w:line="240" w:lineRule="auto"/>
              <w:jc w:val="center"/>
              <w:rPr>
                <w:rFonts w:ascii="Times New Roman" w:hAnsi="Times New Roman" w:eastAsia="Times New Roman" w:cs="Times New Roman"/>
                <w:b/>
                <w:bCs/>
                <w:lang w:val="en-US"/>
              </w:rPr>
            </w:pPr>
            <w:r>
              <w:rPr>
                <w:rFonts w:ascii="Times New Roman" w:hAnsi="Times New Roman" w:eastAsia="Times New Roman" w:cs="Times New Roman"/>
                <w:b/>
                <w:bCs/>
                <w:color w:val="FF0000"/>
                <w:lang w:val="en-US"/>
              </w:rPr>
              <w:t>0.036*</w:t>
            </w:r>
          </w:p>
        </w:tc>
        <w:tc>
          <w:tcPr>
            <w:tcW w:w="0" w:type="auto"/>
            <w:vAlign w:val="center"/>
          </w:tcPr>
          <w:p w14:paraId="629450CA">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0.71±0.49</w:t>
            </w:r>
          </w:p>
        </w:tc>
        <w:tc>
          <w:tcPr>
            <w:tcW w:w="0" w:type="auto"/>
            <w:vAlign w:val="center"/>
          </w:tcPr>
          <w:p w14:paraId="6EEC31B1">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1.39±1.67</w:t>
            </w:r>
          </w:p>
        </w:tc>
        <w:tc>
          <w:tcPr>
            <w:tcW w:w="0" w:type="auto"/>
            <w:vAlign w:val="center"/>
          </w:tcPr>
          <w:p w14:paraId="763B4B1C">
            <w:pPr>
              <w:spacing w:after="0" w:line="240" w:lineRule="auto"/>
              <w:jc w:val="center"/>
              <w:rPr>
                <w:rFonts w:ascii="Times New Roman" w:hAnsi="Times New Roman" w:eastAsia="Times New Roman" w:cs="Times New Roman"/>
                <w:b/>
                <w:bCs/>
                <w:lang w:val="en-US"/>
              </w:rPr>
            </w:pPr>
            <w:r>
              <w:rPr>
                <w:rFonts w:ascii="Times New Roman" w:hAnsi="Times New Roman" w:eastAsia="Times New Roman" w:cs="Times New Roman"/>
                <w:b/>
                <w:bCs/>
                <w:color w:val="FF0000"/>
                <w:lang w:val="en-US"/>
              </w:rPr>
              <w:t>0.031*</w:t>
            </w:r>
          </w:p>
        </w:tc>
        <w:tc>
          <w:tcPr>
            <w:tcW w:w="0" w:type="auto"/>
            <w:vAlign w:val="center"/>
          </w:tcPr>
          <w:p w14:paraId="5BBD5C18">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0.72±0.47</w:t>
            </w:r>
          </w:p>
        </w:tc>
        <w:tc>
          <w:tcPr>
            <w:tcW w:w="0" w:type="auto"/>
            <w:vAlign w:val="center"/>
          </w:tcPr>
          <w:p w14:paraId="0A82E65B">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1.46±1.76</w:t>
            </w:r>
          </w:p>
        </w:tc>
        <w:tc>
          <w:tcPr>
            <w:tcW w:w="635" w:type="dxa"/>
            <w:vAlign w:val="center"/>
          </w:tcPr>
          <w:p w14:paraId="5ACBD82B">
            <w:pPr>
              <w:spacing w:after="0" w:line="240" w:lineRule="auto"/>
              <w:jc w:val="center"/>
              <w:rPr>
                <w:rFonts w:ascii="Times New Roman" w:hAnsi="Times New Roman" w:eastAsia="Times New Roman" w:cs="Times New Roman"/>
                <w:b/>
                <w:bCs/>
                <w:lang w:val="en-US"/>
              </w:rPr>
            </w:pPr>
            <w:r>
              <w:rPr>
                <w:rFonts w:ascii="Times New Roman" w:hAnsi="Times New Roman" w:eastAsia="Times New Roman" w:cs="Times New Roman"/>
                <w:b/>
                <w:bCs/>
                <w:color w:val="FF0000"/>
                <w:lang w:val="en-US"/>
              </w:rPr>
              <w:t>0.020*</w:t>
            </w:r>
          </w:p>
        </w:tc>
      </w:tr>
      <w:tr w14:paraId="03A4BC07">
        <w:tblPrEx>
          <w:tblCellMar>
            <w:top w:w="15" w:type="dxa"/>
            <w:left w:w="15" w:type="dxa"/>
            <w:bottom w:w="15" w:type="dxa"/>
            <w:right w:w="15" w:type="dxa"/>
          </w:tblCellMar>
        </w:tblPrEx>
        <w:trPr>
          <w:trHeight w:val="851" w:hRule="atLeast"/>
          <w:tblCellSpacing w:w="15" w:type="dxa"/>
        </w:trPr>
        <w:tc>
          <w:tcPr>
            <w:tcW w:w="0" w:type="auto"/>
            <w:vAlign w:val="center"/>
          </w:tcPr>
          <w:p w14:paraId="4378E17B">
            <w:pPr>
              <w:spacing w:after="0" w:line="240" w:lineRule="auto"/>
              <w:rPr>
                <w:rFonts w:ascii="Times New Roman" w:hAnsi="Times New Roman" w:eastAsia="Times New Roman" w:cs="Times New Roman"/>
                <w:lang w:val="en-US"/>
              </w:rPr>
            </w:pPr>
            <w:r>
              <w:rPr>
                <w:rFonts w:ascii="Times New Roman" w:hAnsi="Times New Roman" w:eastAsia="Times New Roman" w:cs="Times New Roman"/>
                <w:lang w:val="en-US"/>
              </w:rPr>
              <w:t>Neutrophils/Lymphocytes CD64 ratio</w:t>
            </w:r>
          </w:p>
        </w:tc>
        <w:tc>
          <w:tcPr>
            <w:tcW w:w="0" w:type="auto"/>
            <w:vAlign w:val="center"/>
          </w:tcPr>
          <w:p w14:paraId="0F6F08D3">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19.14±14.89</w:t>
            </w:r>
          </w:p>
        </w:tc>
        <w:tc>
          <w:tcPr>
            <w:tcW w:w="0" w:type="auto"/>
            <w:vAlign w:val="center"/>
          </w:tcPr>
          <w:p w14:paraId="31B231AA">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36.38±32.88</w:t>
            </w:r>
          </w:p>
        </w:tc>
        <w:tc>
          <w:tcPr>
            <w:tcW w:w="0" w:type="auto"/>
            <w:vAlign w:val="center"/>
          </w:tcPr>
          <w:p w14:paraId="1C280447">
            <w:pPr>
              <w:spacing w:after="0" w:line="240" w:lineRule="auto"/>
              <w:jc w:val="center"/>
              <w:rPr>
                <w:rFonts w:ascii="Times New Roman" w:hAnsi="Times New Roman" w:eastAsia="Times New Roman" w:cs="Times New Roman"/>
                <w:b/>
                <w:bCs/>
                <w:color w:val="FF0000"/>
                <w:lang w:val="en-US"/>
              </w:rPr>
            </w:pPr>
            <w:r>
              <w:rPr>
                <w:rFonts w:ascii="Times New Roman" w:hAnsi="Times New Roman" w:eastAsia="Times New Roman" w:cs="Times New Roman"/>
                <w:b/>
                <w:bCs/>
                <w:color w:val="FF0000"/>
                <w:lang w:val="en-US"/>
              </w:rPr>
              <w:t>0.012*</w:t>
            </w:r>
          </w:p>
        </w:tc>
        <w:tc>
          <w:tcPr>
            <w:tcW w:w="0" w:type="auto"/>
            <w:vAlign w:val="center"/>
          </w:tcPr>
          <w:p w14:paraId="4638D024">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23.33±20.22</w:t>
            </w:r>
          </w:p>
        </w:tc>
        <w:tc>
          <w:tcPr>
            <w:tcW w:w="0" w:type="auto"/>
            <w:vAlign w:val="center"/>
          </w:tcPr>
          <w:p w14:paraId="0C95BF56">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33.44±32.71</w:t>
            </w:r>
          </w:p>
        </w:tc>
        <w:tc>
          <w:tcPr>
            <w:tcW w:w="0" w:type="auto"/>
            <w:vAlign w:val="center"/>
          </w:tcPr>
          <w:p w14:paraId="67D9F9F1">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0.150</w:t>
            </w:r>
          </w:p>
        </w:tc>
        <w:tc>
          <w:tcPr>
            <w:tcW w:w="0" w:type="auto"/>
            <w:vAlign w:val="center"/>
          </w:tcPr>
          <w:p w14:paraId="30567921">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24.07±19.56</w:t>
            </w:r>
          </w:p>
        </w:tc>
        <w:tc>
          <w:tcPr>
            <w:tcW w:w="0" w:type="auto"/>
            <w:vAlign w:val="center"/>
          </w:tcPr>
          <w:p w14:paraId="0071B405">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33.63±34.61</w:t>
            </w:r>
          </w:p>
        </w:tc>
        <w:tc>
          <w:tcPr>
            <w:tcW w:w="635" w:type="dxa"/>
            <w:vAlign w:val="center"/>
          </w:tcPr>
          <w:p w14:paraId="2513CCCE">
            <w:pPr>
              <w:spacing w:after="0" w:line="240" w:lineRule="auto"/>
              <w:jc w:val="center"/>
              <w:rPr>
                <w:rFonts w:ascii="Times New Roman" w:hAnsi="Times New Roman" w:eastAsia="Times New Roman" w:cs="Times New Roman"/>
                <w:lang w:val="en-US"/>
              </w:rPr>
            </w:pPr>
            <w:r>
              <w:rPr>
                <w:rFonts w:ascii="Times New Roman" w:hAnsi="Times New Roman" w:eastAsia="Times New Roman" w:cs="Times New Roman"/>
                <w:lang w:val="en-US"/>
              </w:rPr>
              <w:t>0.179</w:t>
            </w:r>
          </w:p>
        </w:tc>
      </w:tr>
    </w:tbl>
    <w:p w14:paraId="61CE1891">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C-reactive protein; CD64: cluster of differentiation 64; FITC: fluorescein isothiocyanate; ICU: intensive care unit.</w:t>
      </w:r>
    </w:p>
    <w:p w14:paraId="3A9167D4">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P-values were calculated using Student's t-test for independent samples. *P&lt;0.05 was considered statistically significant.</w:t>
      </w:r>
    </w:p>
    <w:p w14:paraId="7748F672">
      <w:pPr>
        <w:spacing w:after="200" w:line="480" w:lineRule="auto"/>
        <w:jc w:val="both"/>
        <w:rPr>
          <w:rFonts w:asciiTheme="majorBidi" w:hAnsiTheme="majorBidi" w:cstheme="majorBidi"/>
          <w:sz w:val="24"/>
          <w:szCs w:val="24"/>
          <w:lang w:val="en-US"/>
        </w:rPr>
        <w:sectPr>
          <w:pgSz w:w="15840" w:h="12240" w:orient="landscape"/>
          <w:pgMar w:top="1440" w:right="1440" w:bottom="1440" w:left="1440" w:header="720" w:footer="720" w:gutter="0"/>
          <w:cols w:space="720" w:num="1"/>
          <w:docGrid w:linePitch="360" w:charSpace="0"/>
        </w:sectPr>
      </w:pPr>
    </w:p>
    <w:p w14:paraId="452369BA">
      <w:pPr>
        <w:spacing w:after="20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w:t>
      </w:r>
      <w:r>
        <w:rPr>
          <w:rFonts w:hint="default" w:asciiTheme="majorBidi" w:hAnsiTheme="majorBidi" w:cstheme="majorBidi"/>
          <w:sz w:val="24"/>
          <w:szCs w:val="24"/>
          <w:lang w:val="en-US"/>
        </w:rPr>
        <w:t>3</w:t>
      </w:r>
      <w:r>
        <w:rPr>
          <w:rFonts w:asciiTheme="majorBidi" w:hAnsiTheme="majorBidi" w:cstheme="majorBidi"/>
          <w:sz w:val="24"/>
          <w:szCs w:val="24"/>
          <w:lang w:val="en-US"/>
        </w:rPr>
        <w:t xml:space="preserve"> reveals a progressive relationship between biomarker levels and disease severity as measured by Clinical Respiratory Score. CRP levels increased significantly across severity groups (13.24±26.29 to 66.32±52.95 mg/L, p=0.001),  while neutrophil CD64 and CD64 ratios showed results toward higher values in severe cases, these differences did not reach statistical significance.</w:t>
      </w:r>
    </w:p>
    <w:p w14:paraId="7A9BD737">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Table </w:t>
      </w:r>
      <w:r>
        <w:rPr>
          <w:rFonts w:hint="default" w:ascii="Times New Roman" w:hAnsi="Times New Roman" w:eastAsia="Times New Roman" w:cs="Times New Roman"/>
          <w:b/>
          <w:bCs/>
          <w:sz w:val="24"/>
          <w:szCs w:val="24"/>
          <w:lang w:val="en-US"/>
        </w:rPr>
        <w:t>3</w:t>
      </w:r>
      <w:r>
        <w:rPr>
          <w:rFonts w:ascii="Times New Roman" w:hAnsi="Times New Roman" w:eastAsia="Times New Roman" w:cs="Times New Roman"/>
          <w:b/>
          <w:bCs/>
          <w:sz w:val="24"/>
          <w:szCs w:val="24"/>
          <w:lang w:val="en-US"/>
        </w:rPr>
        <w:t>. Biomarkers According to Clinical Respiratory Score Severity in Pediatric Pneumonia Cases</w:t>
      </w:r>
    </w:p>
    <w:tbl>
      <w:tblPr>
        <w:tblStyle w:val="8"/>
        <w:tblW w:w="0" w:type="auto"/>
        <w:tblCellSpacing w:w="15" w:type="dxa"/>
        <w:tblInd w:w="0" w:type="dxa"/>
        <w:tblLayout w:type="autofit"/>
        <w:tblCellMar>
          <w:top w:w="15" w:type="dxa"/>
          <w:left w:w="15" w:type="dxa"/>
          <w:bottom w:w="15" w:type="dxa"/>
          <w:right w:w="15" w:type="dxa"/>
        </w:tblCellMar>
      </w:tblPr>
      <w:tblGrid>
        <w:gridCol w:w="3203"/>
        <w:gridCol w:w="1645"/>
        <w:gridCol w:w="1960"/>
        <w:gridCol w:w="1851"/>
        <w:gridCol w:w="791"/>
      </w:tblGrid>
      <w:tr w14:paraId="67C7BBE9">
        <w:tblPrEx>
          <w:tblCellMar>
            <w:top w:w="15" w:type="dxa"/>
            <w:left w:w="15" w:type="dxa"/>
            <w:bottom w:w="15" w:type="dxa"/>
            <w:right w:w="15" w:type="dxa"/>
          </w:tblCellMar>
        </w:tblPrEx>
        <w:trPr>
          <w:tblHeader/>
          <w:tblCellSpacing w:w="15" w:type="dxa"/>
        </w:trPr>
        <w:tc>
          <w:tcPr>
            <w:tcW w:w="0" w:type="auto"/>
            <w:tcBorders>
              <w:top w:val="single" w:color="auto" w:sz="12" w:space="0"/>
              <w:bottom w:val="single" w:color="auto" w:sz="12" w:space="0"/>
            </w:tcBorders>
            <w:vAlign w:val="center"/>
          </w:tcPr>
          <w:p w14:paraId="479C403B">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Biomarker</w:t>
            </w:r>
          </w:p>
        </w:tc>
        <w:tc>
          <w:tcPr>
            <w:tcW w:w="0" w:type="auto"/>
            <w:tcBorders>
              <w:top w:val="single" w:color="auto" w:sz="12" w:space="0"/>
              <w:bottom w:val="single" w:color="auto" w:sz="12" w:space="0"/>
            </w:tcBorders>
            <w:vAlign w:val="center"/>
          </w:tcPr>
          <w:p w14:paraId="5058FCF6">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Mild (≤3) (n=11)</w:t>
            </w:r>
          </w:p>
        </w:tc>
        <w:tc>
          <w:tcPr>
            <w:tcW w:w="0" w:type="auto"/>
            <w:tcBorders>
              <w:top w:val="single" w:color="auto" w:sz="12" w:space="0"/>
              <w:bottom w:val="single" w:color="auto" w:sz="12" w:space="0"/>
            </w:tcBorders>
            <w:vAlign w:val="center"/>
          </w:tcPr>
          <w:p w14:paraId="00ED47EE">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Moderate (4-7) (n=22)</w:t>
            </w:r>
          </w:p>
        </w:tc>
        <w:tc>
          <w:tcPr>
            <w:tcW w:w="0" w:type="auto"/>
            <w:tcBorders>
              <w:top w:val="single" w:color="auto" w:sz="12" w:space="0"/>
              <w:bottom w:val="single" w:color="auto" w:sz="12" w:space="0"/>
            </w:tcBorders>
            <w:vAlign w:val="center"/>
          </w:tcPr>
          <w:p w14:paraId="29ED31C8">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Severe (8-12) (n=27)</w:t>
            </w:r>
          </w:p>
        </w:tc>
        <w:tc>
          <w:tcPr>
            <w:tcW w:w="0" w:type="auto"/>
            <w:tcBorders>
              <w:top w:val="single" w:color="auto" w:sz="12" w:space="0"/>
              <w:bottom w:val="single" w:color="auto" w:sz="12" w:space="0"/>
            </w:tcBorders>
            <w:vAlign w:val="center"/>
          </w:tcPr>
          <w:p w14:paraId="0B9B819B">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p-value</w:t>
            </w:r>
          </w:p>
        </w:tc>
      </w:tr>
      <w:tr w14:paraId="3D375C03">
        <w:tblPrEx>
          <w:tblCellMar>
            <w:top w:w="15" w:type="dxa"/>
            <w:left w:w="15" w:type="dxa"/>
            <w:bottom w:w="15" w:type="dxa"/>
            <w:right w:w="15" w:type="dxa"/>
          </w:tblCellMar>
        </w:tblPrEx>
        <w:trPr>
          <w:tblCellSpacing w:w="15" w:type="dxa"/>
        </w:trPr>
        <w:tc>
          <w:tcPr>
            <w:tcW w:w="0" w:type="auto"/>
            <w:vAlign w:val="center"/>
          </w:tcPr>
          <w:p w14:paraId="7480BC5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(mg/L)</w:t>
            </w:r>
          </w:p>
        </w:tc>
        <w:tc>
          <w:tcPr>
            <w:tcW w:w="0" w:type="auto"/>
            <w:vAlign w:val="center"/>
          </w:tcPr>
          <w:p w14:paraId="09C70E5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13.24±26.29</w:t>
            </w:r>
          </w:p>
        </w:tc>
        <w:tc>
          <w:tcPr>
            <w:tcW w:w="0" w:type="auto"/>
            <w:vAlign w:val="center"/>
          </w:tcPr>
          <w:p w14:paraId="347E997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34.88±22.28</w:t>
            </w:r>
          </w:p>
        </w:tc>
        <w:tc>
          <w:tcPr>
            <w:tcW w:w="0" w:type="auto"/>
            <w:vAlign w:val="center"/>
          </w:tcPr>
          <w:p w14:paraId="77D347D8">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66.32±52.95</w:t>
            </w:r>
          </w:p>
        </w:tc>
        <w:tc>
          <w:tcPr>
            <w:tcW w:w="0" w:type="auto"/>
            <w:vAlign w:val="center"/>
          </w:tcPr>
          <w:p w14:paraId="7F7817D6">
            <w:pPr>
              <w:spacing w:after="0" w:line="240" w:lineRule="auto"/>
              <w:rPr>
                <w:rFonts w:ascii="Times New Roman" w:hAnsi="Times New Roman" w:eastAsia="Times New Roman" w:cs="Times New Roman"/>
                <w:b/>
                <w:bCs/>
                <w:color w:val="FF0000"/>
                <w:sz w:val="24"/>
                <w:szCs w:val="24"/>
                <w:lang w:val="en-US"/>
              </w:rPr>
            </w:pPr>
            <w:r>
              <w:rPr>
                <w:rFonts w:ascii="Times New Roman" w:hAnsi="Times New Roman" w:eastAsia="Times New Roman" w:cs="Times New Roman"/>
                <w:b/>
                <w:bCs/>
                <w:color w:val="FF0000"/>
                <w:sz w:val="24"/>
                <w:szCs w:val="24"/>
                <w:lang w:val="en-US"/>
              </w:rPr>
              <w:t>0.001*</w:t>
            </w:r>
          </w:p>
        </w:tc>
      </w:tr>
      <w:tr w14:paraId="2ED935A4">
        <w:tblPrEx>
          <w:tblCellMar>
            <w:top w:w="15" w:type="dxa"/>
            <w:left w:w="15" w:type="dxa"/>
            <w:bottom w:w="15" w:type="dxa"/>
            <w:right w:w="15" w:type="dxa"/>
          </w:tblCellMar>
        </w:tblPrEx>
        <w:trPr>
          <w:tblCellSpacing w:w="15" w:type="dxa"/>
        </w:trPr>
        <w:tc>
          <w:tcPr>
            <w:tcW w:w="0" w:type="auto"/>
            <w:vAlign w:val="center"/>
          </w:tcPr>
          <w:p w14:paraId="0FD1AEE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w:t>
            </w:r>
          </w:p>
        </w:tc>
        <w:tc>
          <w:tcPr>
            <w:tcW w:w="0" w:type="auto"/>
            <w:vAlign w:val="center"/>
          </w:tcPr>
          <w:p w14:paraId="7A2F257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581.86±270.37</w:t>
            </w:r>
          </w:p>
        </w:tc>
        <w:tc>
          <w:tcPr>
            <w:tcW w:w="0" w:type="auto"/>
            <w:vAlign w:val="center"/>
          </w:tcPr>
          <w:p w14:paraId="7DBD086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651.04±172.41</w:t>
            </w:r>
          </w:p>
        </w:tc>
        <w:tc>
          <w:tcPr>
            <w:tcW w:w="0" w:type="auto"/>
            <w:vAlign w:val="center"/>
          </w:tcPr>
          <w:p w14:paraId="57F7CD2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771.74±419.85</w:t>
            </w:r>
          </w:p>
        </w:tc>
        <w:tc>
          <w:tcPr>
            <w:tcW w:w="0" w:type="auto"/>
            <w:vAlign w:val="center"/>
          </w:tcPr>
          <w:p w14:paraId="58862F8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0.203</w:t>
            </w:r>
          </w:p>
        </w:tc>
      </w:tr>
      <w:tr w14:paraId="6EE3E852">
        <w:tblPrEx>
          <w:tblCellMar>
            <w:top w:w="15" w:type="dxa"/>
            <w:left w:w="15" w:type="dxa"/>
            <w:bottom w:w="15" w:type="dxa"/>
            <w:right w:w="15" w:type="dxa"/>
          </w:tblCellMar>
        </w:tblPrEx>
        <w:trPr>
          <w:tblCellSpacing w:w="15" w:type="dxa"/>
        </w:trPr>
        <w:tc>
          <w:tcPr>
            <w:tcW w:w="0" w:type="auto"/>
            <w:vAlign w:val="center"/>
          </w:tcPr>
          <w:p w14:paraId="5DEB9CE2">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Neutrophils/Monocytes CD64 ratio</w:t>
            </w:r>
          </w:p>
        </w:tc>
        <w:tc>
          <w:tcPr>
            <w:tcW w:w="0" w:type="auto"/>
            <w:vAlign w:val="center"/>
          </w:tcPr>
          <w:p w14:paraId="32EE6ECE">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0.49±0.27</w:t>
            </w:r>
          </w:p>
        </w:tc>
        <w:tc>
          <w:tcPr>
            <w:tcW w:w="0" w:type="auto"/>
            <w:vAlign w:val="center"/>
          </w:tcPr>
          <w:p w14:paraId="001DB379">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0.81±0.54</w:t>
            </w:r>
          </w:p>
        </w:tc>
        <w:tc>
          <w:tcPr>
            <w:tcW w:w="0" w:type="auto"/>
            <w:vAlign w:val="center"/>
          </w:tcPr>
          <w:p w14:paraId="0E7AEC3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1.41±1.70</w:t>
            </w:r>
          </w:p>
        </w:tc>
        <w:tc>
          <w:tcPr>
            <w:tcW w:w="0" w:type="auto"/>
            <w:vAlign w:val="center"/>
          </w:tcPr>
          <w:p w14:paraId="1CC5E4B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0.066</w:t>
            </w:r>
          </w:p>
        </w:tc>
      </w:tr>
      <w:tr w14:paraId="5E59F3EB">
        <w:tblPrEx>
          <w:tblCellMar>
            <w:top w:w="15" w:type="dxa"/>
            <w:left w:w="15" w:type="dxa"/>
            <w:bottom w:w="15" w:type="dxa"/>
            <w:right w:w="15" w:type="dxa"/>
          </w:tblCellMar>
        </w:tblPrEx>
        <w:trPr>
          <w:tblCellSpacing w:w="15" w:type="dxa"/>
        </w:trPr>
        <w:tc>
          <w:tcPr>
            <w:tcW w:w="0" w:type="auto"/>
            <w:vAlign w:val="center"/>
          </w:tcPr>
          <w:p w14:paraId="38548BC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Neutrophils/Lymphocytes CD64 ratio</w:t>
            </w:r>
          </w:p>
        </w:tc>
        <w:tc>
          <w:tcPr>
            <w:tcW w:w="0" w:type="auto"/>
            <w:vAlign w:val="center"/>
          </w:tcPr>
          <w:p w14:paraId="1E82F9A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18.53±23.08</w:t>
            </w:r>
          </w:p>
        </w:tc>
        <w:tc>
          <w:tcPr>
            <w:tcW w:w="0" w:type="auto"/>
            <w:vAlign w:val="center"/>
          </w:tcPr>
          <w:p w14:paraId="21B15E61">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25.87±17.04</w:t>
            </w:r>
          </w:p>
        </w:tc>
        <w:tc>
          <w:tcPr>
            <w:tcW w:w="0" w:type="auto"/>
            <w:vAlign w:val="center"/>
          </w:tcPr>
          <w:p w14:paraId="2C7E84BC">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33.70±33.80</w:t>
            </w:r>
          </w:p>
        </w:tc>
        <w:tc>
          <w:tcPr>
            <w:tcW w:w="0" w:type="auto"/>
            <w:vAlign w:val="center"/>
          </w:tcPr>
          <w:p w14:paraId="0CB6DD71">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0.265</w:t>
            </w:r>
          </w:p>
        </w:tc>
      </w:tr>
    </w:tbl>
    <w:p w14:paraId="3BEF5D3B">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C-reactive protein; CD64: cluster of differentiation 64; FITC: fluorescein isothiocyanate;  ICU: intensive care unit.</w:t>
      </w:r>
    </w:p>
    <w:p w14:paraId="68D8789F">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P-values were calculated using Student's t-test for two-group comparisons and one-way ANOVA for multiple group comparisons. P&lt;0.05 was considered statistically significant.</w:t>
      </w:r>
    </w:p>
    <w:p w14:paraId="539863F2">
      <w:pPr>
        <w:spacing w:after="200" w:line="480" w:lineRule="auto"/>
        <w:jc w:val="both"/>
        <w:rPr>
          <w:rFonts w:asciiTheme="majorBidi" w:hAnsiTheme="majorBidi" w:cstheme="majorBidi"/>
          <w:sz w:val="24"/>
          <w:szCs w:val="24"/>
          <w:lang w:val="en-US"/>
        </w:rPr>
      </w:pPr>
    </w:p>
    <w:p w14:paraId="183F223E">
      <w:pPr>
        <w:spacing w:after="200" w:line="480" w:lineRule="auto"/>
        <w:jc w:val="both"/>
        <w:rPr>
          <w:rFonts w:asciiTheme="majorBidi" w:hAnsiTheme="majorBidi" w:cstheme="majorBidi"/>
          <w:sz w:val="24"/>
          <w:szCs w:val="24"/>
          <w:lang w:val="en-US"/>
        </w:rPr>
      </w:pPr>
    </w:p>
    <w:p w14:paraId="49116A82">
      <w:pPr>
        <w:spacing w:after="200" w:line="480" w:lineRule="auto"/>
        <w:jc w:val="both"/>
        <w:rPr>
          <w:rFonts w:asciiTheme="majorBidi" w:hAnsiTheme="majorBidi" w:cstheme="majorBidi"/>
          <w:sz w:val="24"/>
          <w:szCs w:val="24"/>
          <w:lang w:val="en-US"/>
        </w:rPr>
      </w:pPr>
    </w:p>
    <w:p w14:paraId="3C2FC9BB">
      <w:pPr>
        <w:spacing w:after="20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w:t>
      </w:r>
      <w:r>
        <w:rPr>
          <w:rFonts w:hint="default" w:asciiTheme="majorBidi" w:hAnsiTheme="majorBidi" w:cstheme="majorBidi"/>
          <w:sz w:val="24"/>
          <w:szCs w:val="24"/>
          <w:lang w:val="en-US"/>
        </w:rPr>
        <w:t>4</w:t>
      </w:r>
      <w:r>
        <w:rPr>
          <w:rFonts w:asciiTheme="majorBidi" w:hAnsiTheme="majorBidi" w:cstheme="majorBidi"/>
          <w:sz w:val="24"/>
          <w:szCs w:val="24"/>
          <w:lang w:val="en-US"/>
        </w:rPr>
        <w:t xml:space="preserve"> demonstrates strong intercorrelations among all biomarkers in both pneumonia cases and the entire study population. CRP showed the strongest correlations with other inflammatory markers, particularly with  neutrophil/lymphocyte CD64 ratio (r=0.724 in cases, r=0.791 in total population). Notably,  with CRP showing the strongest inverse relationship (r=-0.738 in cases). The correlations were generally stronger in the entire study population, likely due to the wider range of values when including healthy controls.</w:t>
      </w:r>
    </w:p>
    <w:p w14:paraId="105ACFDF">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Table </w:t>
      </w:r>
      <w:r>
        <w:rPr>
          <w:rFonts w:hint="default" w:ascii="Times New Roman" w:hAnsi="Times New Roman" w:eastAsia="Times New Roman" w:cs="Times New Roman"/>
          <w:b/>
          <w:bCs/>
          <w:sz w:val="24"/>
          <w:szCs w:val="24"/>
          <w:lang w:val="en-US"/>
        </w:rPr>
        <w:t>4</w:t>
      </w:r>
      <w:r>
        <w:rPr>
          <w:rFonts w:ascii="Times New Roman" w:hAnsi="Times New Roman" w:eastAsia="Times New Roman" w:cs="Times New Roman"/>
          <w:b/>
          <w:bCs/>
          <w:sz w:val="24"/>
          <w:szCs w:val="24"/>
          <w:lang w:val="en-US"/>
        </w:rPr>
        <w:t>. Correlations among Biomarkers in Pediatric Pneumonia Cases and Entire Study Population</w:t>
      </w:r>
    </w:p>
    <w:tbl>
      <w:tblPr>
        <w:tblStyle w:val="8"/>
        <w:tblW w:w="0" w:type="auto"/>
        <w:tblCellSpacing w:w="15" w:type="dxa"/>
        <w:tblInd w:w="0" w:type="dxa"/>
        <w:tblLayout w:type="autofit"/>
        <w:tblCellMar>
          <w:top w:w="15" w:type="dxa"/>
          <w:left w:w="15" w:type="dxa"/>
          <w:bottom w:w="15" w:type="dxa"/>
          <w:right w:w="15" w:type="dxa"/>
        </w:tblCellMar>
      </w:tblPr>
      <w:tblGrid>
        <w:gridCol w:w="4619"/>
        <w:gridCol w:w="1290"/>
        <w:gridCol w:w="1381"/>
        <w:gridCol w:w="1409"/>
        <w:gridCol w:w="751"/>
      </w:tblGrid>
      <w:tr w14:paraId="1DD4D47E">
        <w:tblPrEx>
          <w:tblCellMar>
            <w:top w:w="15" w:type="dxa"/>
            <w:left w:w="15" w:type="dxa"/>
            <w:bottom w:w="15" w:type="dxa"/>
            <w:right w:w="15" w:type="dxa"/>
          </w:tblCellMar>
        </w:tblPrEx>
        <w:trPr>
          <w:tblHeader/>
          <w:tblCellSpacing w:w="15" w:type="dxa"/>
        </w:trPr>
        <w:tc>
          <w:tcPr>
            <w:tcW w:w="0" w:type="auto"/>
            <w:tcBorders>
              <w:top w:val="single" w:color="auto" w:sz="12" w:space="0"/>
              <w:bottom w:val="single" w:color="auto" w:sz="12" w:space="0"/>
            </w:tcBorders>
            <w:vAlign w:val="center"/>
          </w:tcPr>
          <w:p w14:paraId="06E555B0">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Biomarker Pairs</w:t>
            </w:r>
          </w:p>
        </w:tc>
        <w:tc>
          <w:tcPr>
            <w:tcW w:w="0" w:type="auto"/>
            <w:tcBorders>
              <w:top w:val="single" w:color="auto" w:sz="12" w:space="0"/>
              <w:bottom w:val="single" w:color="auto" w:sz="12" w:space="0"/>
            </w:tcBorders>
            <w:vAlign w:val="center"/>
          </w:tcPr>
          <w:p w14:paraId="2714F2D7">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Cases Only (n=60)</w:t>
            </w:r>
          </w:p>
        </w:tc>
        <w:tc>
          <w:tcPr>
            <w:tcW w:w="1351" w:type="dxa"/>
            <w:tcBorders>
              <w:top w:val="single" w:color="auto" w:sz="12" w:space="0"/>
              <w:bottom w:val="single" w:color="auto" w:sz="12" w:space="0"/>
            </w:tcBorders>
            <w:vAlign w:val="center"/>
          </w:tcPr>
          <w:p w14:paraId="69B4FAE5">
            <w:pPr>
              <w:spacing w:after="0" w:line="240" w:lineRule="auto"/>
              <w:jc w:val="center"/>
              <w:rPr>
                <w:rFonts w:ascii="Times New Roman" w:hAnsi="Times New Roman" w:eastAsia="Times New Roman" w:cs="Times New Roman"/>
                <w:b/>
                <w:bCs/>
                <w:sz w:val="24"/>
                <w:szCs w:val="24"/>
                <w:lang w:val="en-US"/>
              </w:rPr>
            </w:pPr>
          </w:p>
        </w:tc>
        <w:tc>
          <w:tcPr>
            <w:tcW w:w="1379" w:type="dxa"/>
            <w:tcBorders>
              <w:top w:val="single" w:color="auto" w:sz="12" w:space="0"/>
              <w:bottom w:val="single" w:color="auto" w:sz="12" w:space="0"/>
            </w:tcBorders>
            <w:vAlign w:val="center"/>
          </w:tcPr>
          <w:p w14:paraId="5F0A0665">
            <w:pPr>
              <w:spacing w:after="0" w:line="240" w:lineRule="auto"/>
              <w:jc w:val="center"/>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Entire Study Population (n=120)</w:t>
            </w:r>
          </w:p>
        </w:tc>
        <w:tc>
          <w:tcPr>
            <w:tcW w:w="0" w:type="auto"/>
            <w:tcBorders>
              <w:top w:val="single" w:color="auto" w:sz="12" w:space="0"/>
              <w:bottom w:val="single" w:color="auto" w:sz="12" w:space="0"/>
            </w:tcBorders>
            <w:vAlign w:val="center"/>
          </w:tcPr>
          <w:p w14:paraId="1EA43D6A">
            <w:pPr>
              <w:spacing w:after="0" w:line="240" w:lineRule="auto"/>
              <w:jc w:val="center"/>
              <w:rPr>
                <w:rFonts w:ascii="Times New Roman" w:hAnsi="Times New Roman" w:eastAsia="Times New Roman" w:cs="Times New Roman"/>
                <w:b/>
                <w:bCs/>
                <w:sz w:val="24"/>
                <w:szCs w:val="24"/>
                <w:lang w:val="en-US"/>
              </w:rPr>
            </w:pPr>
          </w:p>
        </w:tc>
      </w:tr>
      <w:tr w14:paraId="75F5DB42">
        <w:tblPrEx>
          <w:tblCellMar>
            <w:top w:w="15" w:type="dxa"/>
            <w:left w:w="15" w:type="dxa"/>
            <w:bottom w:w="15" w:type="dxa"/>
            <w:right w:w="15" w:type="dxa"/>
          </w:tblCellMar>
        </w:tblPrEx>
        <w:trPr>
          <w:tblCellSpacing w:w="15" w:type="dxa"/>
        </w:trPr>
        <w:tc>
          <w:tcPr>
            <w:tcW w:w="0" w:type="auto"/>
            <w:vAlign w:val="center"/>
          </w:tcPr>
          <w:p w14:paraId="08E8961B">
            <w:pPr>
              <w:spacing w:after="0" w:line="240" w:lineRule="auto"/>
              <w:jc w:val="center"/>
              <w:rPr>
                <w:rFonts w:ascii="Times New Roman" w:hAnsi="Times New Roman" w:eastAsia="Times New Roman" w:cs="Times New Roman"/>
                <w:sz w:val="20"/>
                <w:szCs w:val="20"/>
                <w:lang w:val="en-US"/>
              </w:rPr>
            </w:pPr>
          </w:p>
        </w:tc>
        <w:tc>
          <w:tcPr>
            <w:tcW w:w="0" w:type="auto"/>
            <w:vAlign w:val="center"/>
          </w:tcPr>
          <w:p w14:paraId="5DD3435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r</w:t>
            </w:r>
          </w:p>
        </w:tc>
        <w:tc>
          <w:tcPr>
            <w:tcW w:w="1351" w:type="dxa"/>
            <w:vAlign w:val="center"/>
          </w:tcPr>
          <w:p w14:paraId="0CCBC0B8">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p</w:t>
            </w:r>
          </w:p>
        </w:tc>
        <w:tc>
          <w:tcPr>
            <w:tcW w:w="1379" w:type="dxa"/>
            <w:vAlign w:val="center"/>
          </w:tcPr>
          <w:p w14:paraId="7FAD115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r</w:t>
            </w:r>
          </w:p>
        </w:tc>
        <w:tc>
          <w:tcPr>
            <w:tcW w:w="0" w:type="auto"/>
            <w:vAlign w:val="center"/>
          </w:tcPr>
          <w:p w14:paraId="2D7ED67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p</w:t>
            </w:r>
          </w:p>
        </w:tc>
      </w:tr>
      <w:tr w14:paraId="536BF2A2">
        <w:tblPrEx>
          <w:tblCellMar>
            <w:top w:w="15" w:type="dxa"/>
            <w:left w:w="15" w:type="dxa"/>
            <w:bottom w:w="15" w:type="dxa"/>
            <w:right w:w="15" w:type="dxa"/>
          </w:tblCellMar>
        </w:tblPrEx>
        <w:trPr>
          <w:tblCellSpacing w:w="15" w:type="dxa"/>
        </w:trPr>
        <w:tc>
          <w:tcPr>
            <w:tcW w:w="0" w:type="auto"/>
            <w:vAlign w:val="center"/>
          </w:tcPr>
          <w:p w14:paraId="73E958E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CRP correlations</w:t>
            </w:r>
          </w:p>
        </w:tc>
        <w:tc>
          <w:tcPr>
            <w:tcW w:w="0" w:type="auto"/>
            <w:vAlign w:val="center"/>
          </w:tcPr>
          <w:p w14:paraId="5A038AC6">
            <w:pPr>
              <w:spacing w:after="0" w:line="240" w:lineRule="auto"/>
              <w:jc w:val="center"/>
              <w:rPr>
                <w:rFonts w:ascii="Times New Roman" w:hAnsi="Times New Roman" w:eastAsia="Times New Roman" w:cs="Times New Roman"/>
                <w:sz w:val="24"/>
                <w:szCs w:val="24"/>
                <w:lang w:val="en-US"/>
              </w:rPr>
            </w:pPr>
          </w:p>
        </w:tc>
        <w:tc>
          <w:tcPr>
            <w:tcW w:w="1351" w:type="dxa"/>
            <w:vAlign w:val="center"/>
          </w:tcPr>
          <w:p w14:paraId="54EFC271">
            <w:pPr>
              <w:spacing w:after="0" w:line="240" w:lineRule="auto"/>
              <w:jc w:val="center"/>
              <w:rPr>
                <w:rFonts w:ascii="Times New Roman" w:hAnsi="Times New Roman" w:eastAsia="Times New Roman" w:cs="Times New Roman"/>
                <w:sz w:val="20"/>
                <w:szCs w:val="20"/>
                <w:lang w:val="en-US"/>
              </w:rPr>
            </w:pPr>
          </w:p>
        </w:tc>
        <w:tc>
          <w:tcPr>
            <w:tcW w:w="1379" w:type="dxa"/>
            <w:vAlign w:val="center"/>
          </w:tcPr>
          <w:p w14:paraId="0D035434">
            <w:pPr>
              <w:spacing w:after="0" w:line="240" w:lineRule="auto"/>
              <w:jc w:val="center"/>
              <w:rPr>
                <w:rFonts w:ascii="Times New Roman" w:hAnsi="Times New Roman" w:eastAsia="Times New Roman" w:cs="Times New Roman"/>
                <w:sz w:val="20"/>
                <w:szCs w:val="20"/>
                <w:lang w:val="en-US"/>
              </w:rPr>
            </w:pPr>
          </w:p>
        </w:tc>
        <w:tc>
          <w:tcPr>
            <w:tcW w:w="0" w:type="auto"/>
            <w:vAlign w:val="center"/>
          </w:tcPr>
          <w:p w14:paraId="53C1F8A0">
            <w:pPr>
              <w:spacing w:after="0" w:line="240" w:lineRule="auto"/>
              <w:jc w:val="center"/>
              <w:rPr>
                <w:rFonts w:ascii="Times New Roman" w:hAnsi="Times New Roman" w:eastAsia="Times New Roman" w:cs="Times New Roman"/>
                <w:sz w:val="20"/>
                <w:szCs w:val="20"/>
                <w:lang w:val="en-US"/>
              </w:rPr>
            </w:pPr>
          </w:p>
        </w:tc>
      </w:tr>
      <w:tr w14:paraId="3D3DF143">
        <w:tblPrEx>
          <w:tblCellMar>
            <w:top w:w="15" w:type="dxa"/>
            <w:left w:w="15" w:type="dxa"/>
            <w:bottom w:w="15" w:type="dxa"/>
            <w:right w:w="15" w:type="dxa"/>
          </w:tblCellMar>
        </w:tblPrEx>
        <w:trPr>
          <w:tblCellSpacing w:w="15" w:type="dxa"/>
        </w:trPr>
        <w:tc>
          <w:tcPr>
            <w:tcW w:w="0" w:type="auto"/>
            <w:vAlign w:val="center"/>
          </w:tcPr>
          <w:p w14:paraId="6F4808E4">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and Neutrophils CD64-FITC</w:t>
            </w:r>
          </w:p>
        </w:tc>
        <w:tc>
          <w:tcPr>
            <w:tcW w:w="0" w:type="auto"/>
            <w:vAlign w:val="center"/>
          </w:tcPr>
          <w:p w14:paraId="3989FD1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0.667**</w:t>
            </w:r>
          </w:p>
        </w:tc>
        <w:tc>
          <w:tcPr>
            <w:tcW w:w="1351" w:type="dxa"/>
            <w:vAlign w:val="center"/>
          </w:tcPr>
          <w:p w14:paraId="7DBEB19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17B0F3E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0.760**</w:t>
            </w:r>
          </w:p>
        </w:tc>
        <w:tc>
          <w:tcPr>
            <w:tcW w:w="0" w:type="auto"/>
            <w:vAlign w:val="center"/>
          </w:tcPr>
          <w:p w14:paraId="7A8AE34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0A3D94C5">
        <w:tblPrEx>
          <w:tblCellMar>
            <w:top w:w="15" w:type="dxa"/>
            <w:left w:w="15" w:type="dxa"/>
            <w:bottom w:w="15" w:type="dxa"/>
            <w:right w:w="15" w:type="dxa"/>
          </w:tblCellMar>
        </w:tblPrEx>
        <w:trPr>
          <w:tblCellSpacing w:w="15" w:type="dxa"/>
        </w:trPr>
        <w:tc>
          <w:tcPr>
            <w:tcW w:w="0" w:type="auto"/>
            <w:vAlign w:val="center"/>
          </w:tcPr>
          <w:p w14:paraId="0C5D627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and Neutrophils/Monocytes CD64 ratio</w:t>
            </w:r>
          </w:p>
        </w:tc>
        <w:tc>
          <w:tcPr>
            <w:tcW w:w="0" w:type="auto"/>
            <w:vAlign w:val="center"/>
          </w:tcPr>
          <w:p w14:paraId="75985CB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0.642**</w:t>
            </w:r>
          </w:p>
        </w:tc>
        <w:tc>
          <w:tcPr>
            <w:tcW w:w="1351" w:type="dxa"/>
            <w:vAlign w:val="center"/>
          </w:tcPr>
          <w:p w14:paraId="712A4D6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7EE8F9D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0.687**</w:t>
            </w:r>
          </w:p>
        </w:tc>
        <w:tc>
          <w:tcPr>
            <w:tcW w:w="0" w:type="auto"/>
            <w:vAlign w:val="center"/>
          </w:tcPr>
          <w:p w14:paraId="4AC532E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2F7619E5">
        <w:tblPrEx>
          <w:tblCellMar>
            <w:top w:w="15" w:type="dxa"/>
            <w:left w:w="15" w:type="dxa"/>
            <w:bottom w:w="15" w:type="dxa"/>
            <w:right w:w="15" w:type="dxa"/>
          </w:tblCellMar>
        </w:tblPrEx>
        <w:trPr>
          <w:tblCellSpacing w:w="15" w:type="dxa"/>
        </w:trPr>
        <w:tc>
          <w:tcPr>
            <w:tcW w:w="0" w:type="auto"/>
            <w:vAlign w:val="center"/>
          </w:tcPr>
          <w:p w14:paraId="7780F16D">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and Neutrophils/Lymphocytes CD64 ratio</w:t>
            </w:r>
          </w:p>
        </w:tc>
        <w:tc>
          <w:tcPr>
            <w:tcW w:w="0" w:type="auto"/>
            <w:vAlign w:val="center"/>
          </w:tcPr>
          <w:p w14:paraId="28BAD4B7">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0.724**</w:t>
            </w:r>
          </w:p>
        </w:tc>
        <w:tc>
          <w:tcPr>
            <w:tcW w:w="1351" w:type="dxa"/>
            <w:vAlign w:val="center"/>
          </w:tcPr>
          <w:p w14:paraId="227F3C8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06421543">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0.791**</w:t>
            </w:r>
          </w:p>
        </w:tc>
        <w:tc>
          <w:tcPr>
            <w:tcW w:w="0" w:type="auto"/>
            <w:vAlign w:val="center"/>
          </w:tcPr>
          <w:p w14:paraId="3036556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0571573E">
        <w:tblPrEx>
          <w:tblCellMar>
            <w:top w:w="15" w:type="dxa"/>
            <w:left w:w="15" w:type="dxa"/>
            <w:bottom w:w="15" w:type="dxa"/>
            <w:right w:w="15" w:type="dxa"/>
          </w:tblCellMar>
        </w:tblPrEx>
        <w:trPr>
          <w:tblCellSpacing w:w="15" w:type="dxa"/>
        </w:trPr>
        <w:tc>
          <w:tcPr>
            <w:tcW w:w="0" w:type="auto"/>
            <w:vAlign w:val="center"/>
          </w:tcPr>
          <w:p w14:paraId="60CC2DB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Neutrophils CD64-FITC correlations</w:t>
            </w:r>
          </w:p>
        </w:tc>
        <w:tc>
          <w:tcPr>
            <w:tcW w:w="0" w:type="auto"/>
            <w:vAlign w:val="center"/>
          </w:tcPr>
          <w:p w14:paraId="1403E423">
            <w:pPr>
              <w:spacing w:after="0" w:line="240" w:lineRule="auto"/>
              <w:jc w:val="center"/>
              <w:rPr>
                <w:rFonts w:ascii="Times New Roman" w:hAnsi="Times New Roman" w:eastAsia="Times New Roman" w:cs="Times New Roman"/>
                <w:sz w:val="24"/>
                <w:szCs w:val="24"/>
                <w:lang w:val="en-US"/>
              </w:rPr>
            </w:pPr>
          </w:p>
        </w:tc>
        <w:tc>
          <w:tcPr>
            <w:tcW w:w="1351" w:type="dxa"/>
            <w:vAlign w:val="center"/>
          </w:tcPr>
          <w:p w14:paraId="7453CDD5">
            <w:pPr>
              <w:spacing w:after="0" w:line="240" w:lineRule="auto"/>
              <w:jc w:val="center"/>
              <w:rPr>
                <w:rFonts w:ascii="Times New Roman" w:hAnsi="Times New Roman" w:eastAsia="Times New Roman" w:cs="Times New Roman"/>
                <w:sz w:val="20"/>
                <w:szCs w:val="20"/>
                <w:lang w:val="en-US"/>
              </w:rPr>
            </w:pPr>
          </w:p>
        </w:tc>
        <w:tc>
          <w:tcPr>
            <w:tcW w:w="1379" w:type="dxa"/>
            <w:vAlign w:val="center"/>
          </w:tcPr>
          <w:p w14:paraId="4E0C4A48">
            <w:pPr>
              <w:spacing w:after="0" w:line="240" w:lineRule="auto"/>
              <w:jc w:val="center"/>
              <w:rPr>
                <w:rFonts w:ascii="Times New Roman" w:hAnsi="Times New Roman" w:eastAsia="Times New Roman" w:cs="Times New Roman"/>
                <w:sz w:val="20"/>
                <w:szCs w:val="20"/>
                <w:lang w:val="en-US"/>
              </w:rPr>
            </w:pPr>
          </w:p>
        </w:tc>
        <w:tc>
          <w:tcPr>
            <w:tcW w:w="0" w:type="auto"/>
            <w:vAlign w:val="center"/>
          </w:tcPr>
          <w:p w14:paraId="488A8732">
            <w:pPr>
              <w:spacing w:after="0" w:line="240" w:lineRule="auto"/>
              <w:jc w:val="center"/>
              <w:rPr>
                <w:rFonts w:ascii="Times New Roman" w:hAnsi="Times New Roman" w:eastAsia="Times New Roman" w:cs="Times New Roman"/>
                <w:sz w:val="20"/>
                <w:szCs w:val="20"/>
                <w:lang w:val="en-US"/>
              </w:rPr>
            </w:pPr>
          </w:p>
        </w:tc>
      </w:tr>
      <w:tr w14:paraId="1421AB19">
        <w:tblPrEx>
          <w:tblCellMar>
            <w:top w:w="15" w:type="dxa"/>
            <w:left w:w="15" w:type="dxa"/>
            <w:bottom w:w="15" w:type="dxa"/>
            <w:right w:w="15" w:type="dxa"/>
          </w:tblCellMar>
        </w:tblPrEx>
        <w:trPr>
          <w:tblCellSpacing w:w="15" w:type="dxa"/>
        </w:trPr>
        <w:tc>
          <w:tcPr>
            <w:tcW w:w="0" w:type="auto"/>
            <w:vAlign w:val="center"/>
          </w:tcPr>
          <w:p w14:paraId="682CA356">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 and Neutrophils/Monocytes CD64 ratio</w:t>
            </w:r>
          </w:p>
        </w:tc>
        <w:tc>
          <w:tcPr>
            <w:tcW w:w="0" w:type="auto"/>
            <w:vAlign w:val="center"/>
          </w:tcPr>
          <w:p w14:paraId="138314D4">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0.681**</w:t>
            </w:r>
          </w:p>
        </w:tc>
        <w:tc>
          <w:tcPr>
            <w:tcW w:w="1351" w:type="dxa"/>
            <w:vAlign w:val="center"/>
          </w:tcPr>
          <w:p w14:paraId="26C2C2CA">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18B7749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0.724**</w:t>
            </w:r>
          </w:p>
        </w:tc>
        <w:tc>
          <w:tcPr>
            <w:tcW w:w="0" w:type="auto"/>
            <w:vAlign w:val="center"/>
          </w:tcPr>
          <w:p w14:paraId="5100509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05284623">
        <w:tblPrEx>
          <w:tblCellMar>
            <w:top w:w="15" w:type="dxa"/>
            <w:left w:w="15" w:type="dxa"/>
            <w:bottom w:w="15" w:type="dxa"/>
            <w:right w:w="15" w:type="dxa"/>
          </w:tblCellMar>
        </w:tblPrEx>
        <w:trPr>
          <w:tblCellSpacing w:w="15" w:type="dxa"/>
        </w:trPr>
        <w:tc>
          <w:tcPr>
            <w:tcW w:w="0" w:type="auto"/>
            <w:vAlign w:val="center"/>
          </w:tcPr>
          <w:p w14:paraId="6AAD8E8F">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 CD64-FITC and Neutrophils/Lymphocytes CD64 ratio</w:t>
            </w:r>
          </w:p>
        </w:tc>
        <w:tc>
          <w:tcPr>
            <w:tcW w:w="0" w:type="auto"/>
            <w:vAlign w:val="center"/>
          </w:tcPr>
          <w:p w14:paraId="1F42F1C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0.544**</w:t>
            </w:r>
          </w:p>
        </w:tc>
        <w:tc>
          <w:tcPr>
            <w:tcW w:w="1351" w:type="dxa"/>
            <w:vAlign w:val="center"/>
          </w:tcPr>
          <w:p w14:paraId="6642DD8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2E39434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0.679**</w:t>
            </w:r>
          </w:p>
        </w:tc>
        <w:tc>
          <w:tcPr>
            <w:tcW w:w="0" w:type="auto"/>
            <w:vAlign w:val="center"/>
          </w:tcPr>
          <w:p w14:paraId="65D706A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r w14:paraId="2014D568">
        <w:tblPrEx>
          <w:tblCellMar>
            <w:top w:w="15" w:type="dxa"/>
            <w:left w:w="15" w:type="dxa"/>
            <w:bottom w:w="15" w:type="dxa"/>
            <w:right w:w="15" w:type="dxa"/>
          </w:tblCellMar>
        </w:tblPrEx>
        <w:trPr>
          <w:tblCellSpacing w:w="15" w:type="dxa"/>
        </w:trPr>
        <w:tc>
          <w:tcPr>
            <w:tcW w:w="0" w:type="auto"/>
            <w:vAlign w:val="center"/>
          </w:tcPr>
          <w:p w14:paraId="75176907">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CD64 ratio correlations</w:t>
            </w:r>
          </w:p>
        </w:tc>
        <w:tc>
          <w:tcPr>
            <w:tcW w:w="0" w:type="auto"/>
            <w:vAlign w:val="center"/>
          </w:tcPr>
          <w:p w14:paraId="1E253A37">
            <w:pPr>
              <w:spacing w:after="0" w:line="240" w:lineRule="auto"/>
              <w:jc w:val="center"/>
              <w:rPr>
                <w:rFonts w:ascii="Times New Roman" w:hAnsi="Times New Roman" w:eastAsia="Times New Roman" w:cs="Times New Roman"/>
                <w:sz w:val="24"/>
                <w:szCs w:val="24"/>
                <w:lang w:val="en-US"/>
              </w:rPr>
            </w:pPr>
          </w:p>
        </w:tc>
        <w:tc>
          <w:tcPr>
            <w:tcW w:w="1351" w:type="dxa"/>
            <w:vAlign w:val="center"/>
          </w:tcPr>
          <w:p w14:paraId="15370F73">
            <w:pPr>
              <w:spacing w:after="0" w:line="240" w:lineRule="auto"/>
              <w:jc w:val="center"/>
              <w:rPr>
                <w:rFonts w:ascii="Times New Roman" w:hAnsi="Times New Roman" w:eastAsia="Times New Roman" w:cs="Times New Roman"/>
                <w:sz w:val="20"/>
                <w:szCs w:val="20"/>
                <w:lang w:val="en-US"/>
              </w:rPr>
            </w:pPr>
          </w:p>
        </w:tc>
        <w:tc>
          <w:tcPr>
            <w:tcW w:w="1379" w:type="dxa"/>
            <w:vAlign w:val="center"/>
          </w:tcPr>
          <w:p w14:paraId="7C585C7B">
            <w:pPr>
              <w:spacing w:after="0" w:line="240" w:lineRule="auto"/>
              <w:jc w:val="center"/>
              <w:rPr>
                <w:rFonts w:ascii="Times New Roman" w:hAnsi="Times New Roman" w:eastAsia="Times New Roman" w:cs="Times New Roman"/>
                <w:sz w:val="20"/>
                <w:szCs w:val="20"/>
                <w:lang w:val="en-US"/>
              </w:rPr>
            </w:pPr>
          </w:p>
        </w:tc>
        <w:tc>
          <w:tcPr>
            <w:tcW w:w="0" w:type="auto"/>
            <w:vAlign w:val="center"/>
          </w:tcPr>
          <w:p w14:paraId="64E0D33E">
            <w:pPr>
              <w:spacing w:after="0" w:line="240" w:lineRule="auto"/>
              <w:jc w:val="center"/>
              <w:rPr>
                <w:rFonts w:ascii="Times New Roman" w:hAnsi="Times New Roman" w:eastAsia="Times New Roman" w:cs="Times New Roman"/>
                <w:sz w:val="20"/>
                <w:szCs w:val="20"/>
                <w:lang w:val="en-US"/>
              </w:rPr>
            </w:pPr>
          </w:p>
        </w:tc>
      </w:tr>
      <w:tr w14:paraId="63440906">
        <w:tblPrEx>
          <w:tblCellMar>
            <w:top w:w="15" w:type="dxa"/>
            <w:left w:w="15" w:type="dxa"/>
            <w:bottom w:w="15" w:type="dxa"/>
            <w:right w:w="15" w:type="dxa"/>
          </w:tblCellMar>
        </w:tblPrEx>
        <w:trPr>
          <w:tblCellSpacing w:w="15" w:type="dxa"/>
        </w:trPr>
        <w:tc>
          <w:tcPr>
            <w:tcW w:w="0" w:type="auto"/>
            <w:vAlign w:val="center"/>
          </w:tcPr>
          <w:p w14:paraId="5A4BAF20">
            <w:pPr>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Neutrophils/Monocytes CD64 ratio and Neutrophils/Lymphocytes CD64 ratio</w:t>
            </w:r>
          </w:p>
        </w:tc>
        <w:tc>
          <w:tcPr>
            <w:tcW w:w="0" w:type="auto"/>
            <w:vAlign w:val="center"/>
          </w:tcPr>
          <w:p w14:paraId="248A4F3F">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0.566**</w:t>
            </w:r>
          </w:p>
        </w:tc>
        <w:tc>
          <w:tcPr>
            <w:tcW w:w="1351" w:type="dxa"/>
            <w:vAlign w:val="center"/>
          </w:tcPr>
          <w:p w14:paraId="690ED796">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c>
          <w:tcPr>
            <w:tcW w:w="1379" w:type="dxa"/>
            <w:vAlign w:val="center"/>
          </w:tcPr>
          <w:p w14:paraId="79717C1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0.643**</w:t>
            </w:r>
          </w:p>
        </w:tc>
        <w:tc>
          <w:tcPr>
            <w:tcW w:w="0" w:type="auto"/>
            <w:vAlign w:val="center"/>
          </w:tcPr>
          <w:p w14:paraId="11B18B92">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&lt;0.001</w:t>
            </w:r>
          </w:p>
        </w:tc>
      </w:tr>
    </w:tbl>
    <w:p w14:paraId="441B12BB">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CRP: C-reactive protein; CD64: cluster of differentiation 64; FITC: fluorescein isothiocyanate..</w:t>
      </w:r>
    </w:p>
    <w:p w14:paraId="5DAA6AD2">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**Correlation is significant at the 0.01 level (2-tailed). Pearson correlation coefficient was used for analysis.</w:t>
      </w:r>
    </w:p>
    <w:p w14:paraId="6DD0E0CA">
      <w:pPr>
        <w:spacing w:after="200" w:line="480" w:lineRule="auto"/>
        <w:jc w:val="both"/>
        <w:rPr>
          <w:rFonts w:asciiTheme="majorBidi" w:hAnsiTheme="majorBidi" w:cstheme="majorBidi"/>
          <w:sz w:val="24"/>
          <w:szCs w:val="24"/>
          <w:lang w:val="en-US"/>
        </w:rPr>
      </w:pPr>
    </w:p>
    <w:p w14:paraId="014C91CF">
      <w:pPr>
        <w:spacing w:after="200" w:line="480" w:lineRule="auto"/>
        <w:jc w:val="both"/>
        <w:rPr>
          <w:rFonts w:asciiTheme="majorBidi" w:hAnsiTheme="majorBidi" w:cstheme="majorBidi"/>
          <w:sz w:val="24"/>
          <w:szCs w:val="24"/>
          <w:lang w:val="en-US"/>
        </w:rPr>
      </w:pPr>
    </w:p>
    <w:p w14:paraId="71825F61">
      <w:pPr>
        <w:spacing w:after="200" w:line="480" w:lineRule="auto"/>
        <w:jc w:val="both"/>
        <w:rPr>
          <w:rFonts w:asciiTheme="majorBidi" w:hAnsiTheme="majorBidi" w:cstheme="majorBidi"/>
          <w:sz w:val="24"/>
          <w:szCs w:val="24"/>
          <w:lang w:val="en-US"/>
        </w:rPr>
      </w:pPr>
    </w:p>
    <w:p w14:paraId="3191FA63">
      <w:pPr>
        <w:spacing w:after="200" w:line="480" w:lineRule="auto"/>
        <w:jc w:val="both"/>
        <w:rPr>
          <w:rFonts w:asciiTheme="majorBidi" w:hAnsiTheme="majorBidi" w:cstheme="majorBidi"/>
          <w:sz w:val="24"/>
          <w:szCs w:val="24"/>
          <w:lang w:val="en-US"/>
        </w:rPr>
      </w:pPr>
    </w:p>
    <w:p w14:paraId="483F676E">
      <w:pPr>
        <w:spacing w:after="200" w:line="480" w:lineRule="auto"/>
        <w:jc w:val="both"/>
        <w:rPr>
          <w:rFonts w:asciiTheme="majorBidi" w:hAnsiTheme="majorBidi" w:cstheme="majorBidi"/>
          <w:sz w:val="24"/>
          <w:szCs w:val="24"/>
          <w:lang w:val="en-US"/>
        </w:rPr>
        <w:sectPr>
          <w:pgSz w:w="12240" w:h="15840"/>
          <w:pgMar w:top="1440" w:right="1440" w:bottom="1440" w:left="1440" w:header="720" w:footer="720" w:gutter="0"/>
          <w:cols w:space="720" w:num="1"/>
          <w:docGrid w:linePitch="360" w:charSpace="0"/>
        </w:sectPr>
      </w:pPr>
    </w:p>
    <w:p w14:paraId="436FBB08">
      <w:pPr>
        <w:spacing w:after="20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Figure 1 demonstrates the diagnostic performance of four biomarkers for pediatric pneumonia diagnosis through ROC curve analysis. The neutrophil-to-lymphocyte CD64 ratio exhibited superior diagnostic accuracy (AUC=0.97) with optimal sensitivity (90%) and specificity (99%) at a cut-off of 7.3. Neutrophil CD64-FITC and neutrophil-to-monocyte CD64 ratio both showed excellent performance (AUC=0.91) with high specificity (85-92%). CRP demonstrated good diagnostic utility (AUC=0.86-0.89) with balanced sensitivity and specificity. </w:t>
      </w:r>
    </w:p>
    <w:p w14:paraId="3066F41B">
      <w:pPr>
        <w:spacing w:after="200" w:line="480" w:lineRule="auto"/>
        <w:jc w:val="both"/>
        <w:rPr>
          <w:lang w:val="en-US"/>
        </w:rPr>
      </w:pPr>
    </w:p>
    <w:p w14:paraId="78AF6D3F">
      <w:pPr>
        <w:spacing w:after="200" w:line="480" w:lineRule="auto"/>
        <w:jc w:val="both"/>
        <w:rPr>
          <w:lang w:val="en-US"/>
        </w:rPr>
      </w:pPr>
    </w:p>
    <w:p w14:paraId="7CFF07FD">
      <w:pPr>
        <w:spacing w:after="200" w:line="480" w:lineRule="auto"/>
        <w:jc w:val="both"/>
        <w:rPr>
          <w:lang w:val="en-US"/>
        </w:rPr>
        <w:sectPr>
          <w:pgSz w:w="12240" w:h="15840"/>
          <w:pgMar w:top="1440" w:right="1440" w:bottom="1440" w:left="1440" w:header="720" w:footer="720" w:gutter="0"/>
          <w:cols w:space="720" w:num="1"/>
          <w:docGrid w:linePitch="360" w:charSpace="0"/>
        </w:sectPr>
      </w:pPr>
    </w:p>
    <w:p w14:paraId="5EE269B9">
      <w:pPr>
        <w:spacing w:after="200" w:line="480" w:lineRule="auto"/>
        <w:jc w:val="both"/>
        <w:rPr>
          <w:lang w:val="en-US"/>
        </w:rPr>
      </w:pPr>
    </w:p>
    <w:tbl>
      <w:tblPr>
        <w:tblStyle w:val="51"/>
        <w:tblW w:w="15108" w:type="dxa"/>
        <w:tblInd w:w="-8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26"/>
        <w:gridCol w:w="4806"/>
        <w:gridCol w:w="5076"/>
      </w:tblGrid>
      <w:tr w14:paraId="32410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0" w:hRule="atLeast"/>
        </w:trPr>
        <w:tc>
          <w:tcPr>
            <w:tcW w:w="5076" w:type="dxa"/>
          </w:tcPr>
          <w:p w14:paraId="2EFEBEF1">
            <w:pPr>
              <w:spacing w:after="0" w:line="240" w:lineRule="auto"/>
              <w:rPr>
                <w:lang w:val="en-US"/>
              </w:rPr>
            </w:pPr>
            <w:r>
              <w:rPr>
                <w:lang w:val="en-US"/>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2355850</wp:posOffset>
                      </wp:positionV>
                      <wp:extent cx="342900" cy="2381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42900" cy="238125"/>
                              </a:xfrm>
                              <a:prstGeom prst="rect">
                                <a:avLst/>
                              </a:prstGeom>
                              <a:solidFill>
                                <a:srgbClr val="C0504D">
                                  <a:lumMod val="40000"/>
                                  <a:lumOff val="60000"/>
                                </a:srgbClr>
                              </a:solidFill>
                              <a:ln w="12700" cap="flat" cmpd="sng" algn="ctr">
                                <a:solidFill>
                                  <a:sysClr val="windowText" lastClr="000000"/>
                                </a:solidFill>
                                <a:prstDash val="solid"/>
                              </a:ln>
                              <a:effectLst/>
                            </wps:spPr>
                            <wps:txbx>
                              <w:txbxContent>
                                <w:p w14:paraId="2D809A53">
                                  <w:pPr>
                                    <w:jc w:val="cente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pt;margin-top:185.5pt;height:18.75pt;width:27pt;z-index:251659264;mso-width-relative:page;mso-height-relative:page;" fillcolor="#E6B9B8" filled="t" stroked="t" coordsize="21600,21600" o:gfxdata="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XtFEW1AAA&#10;AAgBAAAPAAAAAAAAAAEAIAAAACIAAABkcnMvZG93bnJldi54bWxQSwECFAAUAAAACACHTuJA2oNF&#10;QZQCAABMBQAADgAAAAAAAAABACAAAAAjAQAAZHJzL2Uyb0RvYy54bWxQSwUGAAAAAAYABgBZAQAA&#10;KQYAAAAA&#10;">
                      <v:fill on="t" focussize="0,0"/>
                      <v:stroke weight="1pt" color="#000000" joinstyle="round"/>
                      <v:imagedata o:title=""/>
                      <o:lock v:ext="edit" aspectratio="f"/>
                      <v:textbox>
                        <w:txbxContent>
                          <w:p w14:paraId="2D809A53">
                            <w:pPr>
                              <w:jc w:val="center"/>
                              <w:rPr>
                                <w:b/>
                                <w:bCs/>
                              </w:rPr>
                            </w:pPr>
                            <w:r>
                              <w:rPr>
                                <w:b/>
                                <w:bCs/>
                              </w:rPr>
                              <w:t>A</w:t>
                            </w:r>
                          </w:p>
                        </w:txbxContent>
                      </v:textbox>
                    </v:shape>
                  </w:pict>
                </mc:Fallback>
              </mc:AlternateContent>
            </w:r>
            <w:r>
              <w:rPr>
                <w:lang w:val="en-US"/>
              </w:rPr>
              <w:drawing>
                <wp:inline distT="0" distB="0" distL="0" distR="0">
                  <wp:extent cx="3038475" cy="2609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38475" cy="2609850"/>
                          </a:xfrm>
                          <a:prstGeom prst="rect">
                            <a:avLst/>
                          </a:prstGeom>
                          <a:noFill/>
                        </pic:spPr>
                      </pic:pic>
                    </a:graphicData>
                  </a:graphic>
                </wp:inline>
              </w:drawing>
            </w:r>
          </w:p>
        </w:tc>
        <w:tc>
          <w:tcPr>
            <w:tcW w:w="5226" w:type="dxa"/>
          </w:tcPr>
          <w:p w14:paraId="7DEFEA21">
            <w:pPr>
              <w:spacing w:after="0" w:line="240" w:lineRule="auto"/>
              <w:rPr>
                <w:lang w:val="en-US"/>
              </w:rPr>
            </w:pPr>
            <w:r>
              <w:rPr>
                <w:lang w:val="en-US"/>
              </w:rPr>
              <w:drawing>
                <wp:inline distT="0" distB="0" distL="0" distR="0">
                  <wp:extent cx="2914650" cy="259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14650" cy="2590800"/>
                          </a:xfrm>
                          <a:prstGeom prst="rect">
                            <a:avLst/>
                          </a:prstGeom>
                          <a:noFill/>
                        </pic:spPr>
                      </pic:pic>
                    </a:graphicData>
                  </a:graphic>
                </wp:inline>
              </w:drawing>
            </w:r>
            <w:r>
              <w:rPr>
                <w:lang w:val="en-US"/>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2317750</wp:posOffset>
                      </wp:positionV>
                      <wp:extent cx="352425" cy="2762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352425" cy="276225"/>
                              </a:xfrm>
                              <a:prstGeom prst="rect">
                                <a:avLst/>
                              </a:prstGeom>
                              <a:solidFill>
                                <a:srgbClr val="C0504D">
                                  <a:lumMod val="40000"/>
                                  <a:lumOff val="60000"/>
                                </a:srgbClr>
                              </a:solidFill>
                              <a:ln w="6350">
                                <a:solidFill>
                                  <a:prstClr val="black"/>
                                </a:solidFill>
                              </a:ln>
                            </wps:spPr>
                            <wps:txbx>
                              <w:txbxContent>
                                <w:p w14:paraId="46398D11">
                                  <w:pPr>
                                    <w:jc w:val="cente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85pt;margin-top:182.5pt;height:21.75pt;width:27.75pt;z-index:251660288;mso-width-relative:page;mso-height-relative:page;" fillcolor="#E6B9B8" filled="t" stroked="t" coordsize="21600,21600" o:gfxdata="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6N0htNoAAAAJAQAADwAAAAAAAAABACAAAAAiAAAAZHJzL2Rvd25yZXYueG1sUEsB&#10;AhQAFAAAAAgAh07iQGwRVc9lAgAA7gQAAA4AAAAAAAAAAQAgAAAAKQEAAGRycy9lMm9Eb2MueG1s&#10;UEsFBgAAAAAGAAYAWQEAAAAGAAAAAA==&#10;">
                      <v:fill on="t" focussize="0,0"/>
                      <v:stroke weight="0.5pt" color="#000000" joinstyle="round"/>
                      <v:imagedata o:title=""/>
                      <o:lock v:ext="edit" aspectratio="f"/>
                      <v:textbox>
                        <w:txbxContent>
                          <w:p w14:paraId="46398D11">
                            <w:pPr>
                              <w:jc w:val="center"/>
                              <w:rPr>
                                <w:b/>
                                <w:bCs/>
                              </w:rPr>
                            </w:pPr>
                            <w:r>
                              <w:rPr>
                                <w:b/>
                                <w:bCs/>
                              </w:rPr>
                              <w:t>B</w:t>
                            </w:r>
                          </w:p>
                        </w:txbxContent>
                      </v:textbox>
                    </v:shape>
                  </w:pict>
                </mc:Fallback>
              </mc:AlternateContent>
            </w:r>
          </w:p>
        </w:tc>
        <w:tc>
          <w:tcPr>
            <w:tcW w:w="4806" w:type="dxa"/>
          </w:tcPr>
          <w:p w14:paraId="77F5F83C">
            <w:pPr>
              <w:spacing w:after="0" w:line="240" w:lineRule="auto"/>
              <w:rPr>
                <w:lang w:val="en-US"/>
              </w:rPr>
            </w:pPr>
            <w:r>
              <w:rPr>
                <w:lang w:val="en-US"/>
              </w:rPr>
              <w:drawing>
                <wp:inline distT="0" distB="0" distL="0" distR="0">
                  <wp:extent cx="3076575" cy="2667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076575" cy="2667000"/>
                          </a:xfrm>
                          <a:prstGeom prst="rect">
                            <a:avLst/>
                          </a:prstGeom>
                          <a:noFill/>
                        </pic:spPr>
                      </pic:pic>
                    </a:graphicData>
                  </a:graphic>
                </wp:inline>
              </w:drawing>
            </w:r>
            <w:r>
              <w:rPr>
                <w:lang w:val="en-US"/>
              </w:rP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2317750</wp:posOffset>
                      </wp:positionV>
                      <wp:extent cx="381000" cy="2476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381000" cy="247650"/>
                              </a:xfrm>
                              <a:prstGeom prst="rect">
                                <a:avLst/>
                              </a:prstGeom>
                              <a:solidFill>
                                <a:srgbClr val="C0504D">
                                  <a:lumMod val="40000"/>
                                  <a:lumOff val="60000"/>
                                </a:srgbClr>
                              </a:solidFill>
                              <a:ln w="6350">
                                <a:solidFill>
                                  <a:prstClr val="black"/>
                                </a:solidFill>
                              </a:ln>
                            </wps:spPr>
                            <wps:txbx>
                              <w:txbxContent>
                                <w:p w14:paraId="0AB93DA6">
                                  <w:pPr>
                                    <w:jc w:val="cente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182.5pt;height:19.5pt;width:30pt;z-index:251661312;mso-width-relative:page;mso-height-relative:page;" fillcolor="#E6B9B8" filled="t" stroked="t" coordsize="21600,21600" o:gfxdata="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kbh8toAAAAJAQAADwAAAAAAAAABACAAAAAiAAAAZHJzL2Rvd25yZXYueG1sUEsBAhQA&#10;FAAAAAgAh07iQK8NmGRiAgAA8AQAAA4AAAAAAAAAAQAgAAAAKQEAAGRycy9lMm9Eb2MueG1sUEsF&#10;BgAAAAAGAAYAWQEAAP0FAAAAAA==&#10;">
                      <v:fill on="t" focussize="0,0"/>
                      <v:stroke weight="0.5pt" color="#000000" joinstyle="round"/>
                      <v:imagedata o:title=""/>
                      <o:lock v:ext="edit" aspectratio="f"/>
                      <v:textbox>
                        <w:txbxContent>
                          <w:p w14:paraId="0AB93DA6">
                            <w:pPr>
                              <w:jc w:val="center"/>
                              <w:rPr>
                                <w:b/>
                                <w:bCs/>
                              </w:rPr>
                            </w:pPr>
                            <w:r>
                              <w:rPr>
                                <w:b/>
                                <w:bCs/>
                              </w:rPr>
                              <w:t>C</w:t>
                            </w:r>
                          </w:p>
                        </w:txbxContent>
                      </v:textbox>
                    </v:shape>
                  </w:pict>
                </mc:Fallback>
              </mc:AlternateContent>
            </w:r>
          </w:p>
        </w:tc>
      </w:tr>
      <w:tr w14:paraId="4530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2" w:hRule="atLeast"/>
        </w:trPr>
        <w:tc>
          <w:tcPr>
            <w:tcW w:w="5076" w:type="dxa"/>
          </w:tcPr>
          <w:p w14:paraId="03A5AA64">
            <w:pPr>
              <w:spacing w:after="0" w:line="240" w:lineRule="auto"/>
              <w:rPr>
                <w:lang w:val="en-US"/>
              </w:rPr>
            </w:pPr>
            <w:r>
              <w:rPr>
                <w:lang w:val="en-US"/>
              </w:rPr>
              <w:drawing>
                <wp:inline distT="0" distB="0" distL="0" distR="0">
                  <wp:extent cx="3181350" cy="2676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181350" cy="2676525"/>
                          </a:xfrm>
                          <a:prstGeom prst="rect">
                            <a:avLst/>
                          </a:prstGeom>
                          <a:noFill/>
                        </pic:spPr>
                      </pic:pic>
                    </a:graphicData>
                  </a:graphic>
                </wp:inline>
              </w:drawing>
            </w:r>
            <w:r>
              <w:rPr>
                <w:lang w:val="en-US"/>
              </w:rPr>
              <mc:AlternateContent>
                <mc:Choice Requires="wps">
                  <w:drawing>
                    <wp:anchor distT="0" distB="0" distL="114300" distR="114300" simplePos="0" relativeHeight="251662336" behindDoc="0" locked="0" layoutInCell="1" allowOverlap="1">
                      <wp:simplePos x="0" y="0"/>
                      <wp:positionH relativeFrom="column">
                        <wp:posOffset>-16510</wp:posOffset>
                      </wp:positionH>
                      <wp:positionV relativeFrom="paragraph">
                        <wp:posOffset>2444750</wp:posOffset>
                      </wp:positionV>
                      <wp:extent cx="371475" cy="2286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371475" cy="228600"/>
                              </a:xfrm>
                              <a:prstGeom prst="rect">
                                <a:avLst/>
                              </a:prstGeom>
                              <a:solidFill>
                                <a:srgbClr val="C0504D">
                                  <a:lumMod val="40000"/>
                                  <a:lumOff val="60000"/>
                                </a:srgbClr>
                              </a:solidFill>
                              <a:ln w="6350">
                                <a:solidFill>
                                  <a:prstClr val="black"/>
                                </a:solidFill>
                              </a:ln>
                            </wps:spPr>
                            <wps:txbx>
                              <w:txbxContent>
                                <w:p w14:paraId="3B6ADE59">
                                  <w:pPr>
                                    <w:jc w:val="center"/>
                                    <w:rPr>
                                      <w:b/>
                                      <w:bCs/>
                                    </w:rPr>
                                  </w:pPr>
                                  <w:r>
                                    <w:rPr>
                                      <w:b/>
                                      <w:bCs/>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pt;margin-top:192.5pt;height:18pt;width:29.25pt;z-index:251662336;mso-width-relative:page;mso-height-relative:page;" fillcolor="#E6B9B8" filled="t" stroked="t" coordsize="21600,21600" o:gfxdata="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96CdoAAAAJAQAADwAAAAAAAAABACAAAAAiAAAAZHJzL2Rvd25yZXYueG1sUEsB&#10;AhQAFAAAAAgAh07iQG9jBYBlAgAA8AQAAA4AAAAAAAAAAQAgAAAAKQEAAGRycy9lMm9Eb2MueG1s&#10;UEsFBgAAAAAGAAYAWQEAAAAGAAAAAA==&#10;">
                      <v:fill on="t" focussize="0,0"/>
                      <v:stroke weight="0.5pt" color="#000000" joinstyle="round"/>
                      <v:imagedata o:title=""/>
                      <o:lock v:ext="edit" aspectratio="f"/>
                      <v:textbox>
                        <w:txbxContent>
                          <w:p w14:paraId="3B6ADE59">
                            <w:pPr>
                              <w:jc w:val="center"/>
                              <w:rPr>
                                <w:b/>
                                <w:bCs/>
                              </w:rPr>
                            </w:pPr>
                            <w:r>
                              <w:rPr>
                                <w:b/>
                                <w:bCs/>
                              </w:rPr>
                              <w:t>D</w:t>
                            </w:r>
                          </w:p>
                        </w:txbxContent>
                      </v:textbox>
                    </v:shape>
                  </w:pict>
                </mc:Fallback>
              </mc:AlternateContent>
            </w:r>
          </w:p>
        </w:tc>
        <w:tc>
          <w:tcPr>
            <w:tcW w:w="5226" w:type="dxa"/>
          </w:tcPr>
          <w:p w14:paraId="05867D46">
            <w:pPr>
              <w:spacing w:after="0" w:line="240" w:lineRule="auto"/>
              <w:rPr>
                <w:lang w:val="en-US"/>
              </w:rPr>
            </w:pPr>
          </w:p>
        </w:tc>
        <w:tc>
          <w:tcPr>
            <w:tcW w:w="4806" w:type="dxa"/>
          </w:tcPr>
          <w:p w14:paraId="138089B9">
            <w:pPr>
              <w:spacing w:after="0" w:line="240" w:lineRule="auto"/>
              <w:rPr>
                <w:lang w:val="en-US"/>
              </w:rPr>
            </w:pPr>
          </w:p>
        </w:tc>
      </w:tr>
    </w:tbl>
    <w:p w14:paraId="681C53A5">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Figure 1. ROC Curve Analysis of Non-Classic Biomarkers for Diagnosing Pediatric Pneumonia</w:t>
      </w:r>
    </w:p>
    <w:p w14:paraId="21C1D156">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(A) C-reactive protein, (B)Neutrophils CD64-FITC, (C) Neutrophils CD64-FITC/Monocytes CD64-FITC ratio, (D) Neutrophils CD64-FITC/Lymphocytes CD64-FITC ratio.</w:t>
      </w:r>
    </w:p>
    <w:p w14:paraId="23889567">
      <w:pPr>
        <w:spacing w:after="200" w:line="480" w:lineRule="auto"/>
        <w:jc w:val="both"/>
        <w:rPr>
          <w:rFonts w:asciiTheme="majorBidi" w:hAnsiTheme="majorBidi" w:cstheme="majorBidi"/>
          <w:sz w:val="24"/>
          <w:szCs w:val="24"/>
          <w:lang w:val="en-US"/>
        </w:rPr>
      </w:pPr>
    </w:p>
    <w:p w14:paraId="49D85CFF">
      <w:pPr>
        <w:widowControl w:val="0"/>
        <w:autoSpaceDE w:val="0"/>
        <w:autoSpaceDN w:val="0"/>
        <w:adjustRightInd w:val="0"/>
        <w:spacing w:after="0" w:line="480" w:lineRule="auto"/>
        <w:jc w:val="both"/>
        <w:rPr>
          <w:rFonts w:eastAsia="Calibri" w:asciiTheme="minorBidi" w:hAnsiTheme="minorBidi"/>
          <w:lang w:val="en-US"/>
        </w:rPr>
      </w:pPr>
    </w:p>
    <w:p w14:paraId="0C746E8B">
      <w:pPr>
        <w:widowControl w:val="0"/>
        <w:autoSpaceDE w:val="0"/>
        <w:autoSpaceDN w:val="0"/>
        <w:adjustRightInd w:val="0"/>
        <w:spacing w:after="0" w:line="480" w:lineRule="auto"/>
        <w:jc w:val="both"/>
        <w:rPr>
          <w:rFonts w:eastAsia="Calibri" w:asciiTheme="minorBidi" w:hAnsiTheme="minorBidi"/>
          <w:lang w:val="en-US"/>
        </w:rPr>
      </w:pPr>
    </w:p>
    <w:p w14:paraId="69C17E0B">
      <w:pPr>
        <w:widowControl w:val="0"/>
        <w:autoSpaceDE w:val="0"/>
        <w:autoSpaceDN w:val="0"/>
        <w:adjustRightInd w:val="0"/>
        <w:spacing w:after="0" w:line="480" w:lineRule="auto"/>
        <w:jc w:val="both"/>
        <w:rPr>
          <w:rFonts w:eastAsia="Calibri" w:asciiTheme="minorBidi" w:hAnsiTheme="minorBidi"/>
          <w:lang w:val="en-US"/>
        </w:rPr>
      </w:pPr>
    </w:p>
    <w:p w14:paraId="3F0D6B00">
      <w:pPr>
        <w:widowControl w:val="0"/>
        <w:autoSpaceDE w:val="0"/>
        <w:autoSpaceDN w:val="0"/>
        <w:adjustRightInd w:val="0"/>
        <w:spacing w:after="0" w:line="480" w:lineRule="auto"/>
        <w:jc w:val="both"/>
        <w:rPr>
          <w:rFonts w:eastAsia="Calibri" w:asciiTheme="minorBidi" w:hAnsiTheme="minorBidi"/>
          <w:lang w:val="en-US"/>
        </w:rPr>
      </w:pPr>
    </w:p>
    <w:p w14:paraId="00CEB446">
      <w:pPr>
        <w:widowControl w:val="0"/>
        <w:autoSpaceDE w:val="0"/>
        <w:autoSpaceDN w:val="0"/>
        <w:adjustRightInd w:val="0"/>
        <w:spacing w:after="0" w:line="480" w:lineRule="auto"/>
        <w:jc w:val="both"/>
        <w:rPr>
          <w:rFonts w:eastAsia="Calibri" w:asciiTheme="minorBidi" w:hAnsiTheme="minorBidi"/>
          <w:lang w:val="en-US"/>
        </w:rPr>
      </w:pPr>
    </w:p>
    <w:p w14:paraId="14E689AB">
      <w:pPr>
        <w:widowControl w:val="0"/>
        <w:autoSpaceDE w:val="0"/>
        <w:autoSpaceDN w:val="0"/>
        <w:adjustRightInd w:val="0"/>
        <w:spacing w:after="0" w:line="480" w:lineRule="auto"/>
        <w:jc w:val="both"/>
        <w:rPr>
          <w:rFonts w:eastAsia="Calibri" w:asciiTheme="minorBidi" w:hAnsiTheme="minorBidi"/>
          <w:lang w:val="en-US"/>
        </w:rPr>
      </w:pPr>
    </w:p>
    <w:p w14:paraId="6B3C2D5A">
      <w:pPr>
        <w:widowControl w:val="0"/>
        <w:autoSpaceDE w:val="0"/>
        <w:autoSpaceDN w:val="0"/>
        <w:adjustRightInd w:val="0"/>
        <w:spacing w:after="0" w:line="480" w:lineRule="auto"/>
        <w:jc w:val="both"/>
        <w:rPr>
          <w:rFonts w:eastAsia="Calibri" w:asciiTheme="minorBidi" w:hAnsiTheme="minorBidi"/>
          <w:lang w:val="en-US"/>
        </w:rPr>
      </w:pPr>
    </w:p>
    <w:p w14:paraId="7EA4BEEE">
      <w:pPr>
        <w:widowControl w:val="0"/>
        <w:autoSpaceDE w:val="0"/>
        <w:autoSpaceDN w:val="0"/>
        <w:adjustRightInd w:val="0"/>
        <w:spacing w:after="0" w:line="480" w:lineRule="auto"/>
        <w:jc w:val="both"/>
        <w:rPr>
          <w:rFonts w:eastAsia="Calibri" w:asciiTheme="minorBidi" w:hAnsiTheme="minorBidi"/>
          <w:lang w:val="en-US"/>
        </w:rPr>
      </w:pPr>
    </w:p>
    <w:p w14:paraId="113DA1FB">
      <w:pPr>
        <w:widowControl w:val="0"/>
        <w:autoSpaceDE w:val="0"/>
        <w:autoSpaceDN w:val="0"/>
        <w:adjustRightInd w:val="0"/>
        <w:spacing w:after="0" w:line="480" w:lineRule="auto"/>
        <w:jc w:val="both"/>
        <w:rPr>
          <w:rFonts w:eastAsia="Calibri" w:asciiTheme="minorBidi" w:hAnsiTheme="minorBidi"/>
          <w:lang w:val="en-US"/>
        </w:rPr>
      </w:pPr>
    </w:p>
    <w:p w14:paraId="047BD4DB">
      <w:pPr>
        <w:widowControl w:val="0"/>
        <w:autoSpaceDE w:val="0"/>
        <w:autoSpaceDN w:val="0"/>
        <w:adjustRightInd w:val="0"/>
        <w:spacing w:after="0" w:line="480" w:lineRule="auto"/>
        <w:jc w:val="both"/>
        <w:rPr>
          <w:rFonts w:eastAsia="Calibri" w:asciiTheme="minorBidi" w:hAnsiTheme="minorBidi"/>
          <w:lang w:val="en-US"/>
        </w:rPr>
        <w:sectPr>
          <w:pgSz w:w="15840" w:h="12240" w:orient="landscape"/>
          <w:pgMar w:top="1302" w:right="1440" w:bottom="1440" w:left="1440" w:header="709" w:footer="709" w:gutter="0"/>
          <w:cols w:space="708" w:num="1"/>
          <w:docGrid w:linePitch="360" w:charSpace="0"/>
        </w:sectPr>
      </w:pPr>
    </w:p>
    <w:p w14:paraId="1DA191A7">
      <w:pPr>
        <w:widowControl w:val="0"/>
        <w:autoSpaceDE w:val="0"/>
        <w:autoSpaceDN w:val="0"/>
        <w:adjustRightInd w:val="0"/>
        <w:spacing w:after="0" w:line="480" w:lineRule="auto"/>
        <w:rPr>
          <w:rFonts w:asciiTheme="majorBidi" w:hAnsiTheme="majorBidi" w:cstheme="majorBidi"/>
          <w:b/>
          <w:bCs/>
          <w:caps/>
          <w:sz w:val="24"/>
          <w:szCs w:val="24"/>
        </w:rPr>
      </w:pPr>
      <w:r>
        <w:rPr>
          <w:rFonts w:asciiTheme="majorBidi" w:hAnsiTheme="majorBidi" w:cstheme="majorBidi"/>
          <w:b/>
          <w:bCs/>
          <w:sz w:val="24"/>
          <w:szCs w:val="24"/>
        </w:rPr>
        <w:t>Discussion</w:t>
      </w:r>
    </w:p>
    <w:p w14:paraId="5A5D8111">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present study evaluated non-classic biomarkers in pediatric pneumonia, demonstrating their significant potential for diagnosis and prognosis assessment. Our findings contribute to the growing body of evidence supporting the clinical utility of immune response markers beyond traditional inflammatory indicators.</w:t>
      </w:r>
    </w:p>
    <w:p w14:paraId="502D5B5E">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 xml:space="preserve"> </w:t>
      </w:r>
    </w:p>
    <w:p w14:paraId="7716F817">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In our study, Neutrophil CD64-FITC expression was markedly elevated in cases, with excellent diagnostic accuracy (sensitivity 78%, specificity 92%, AUC 0.91). The neutrophil-to-lymphocyte CD64 ratio demonstrated exceptional performance (sensitivity 90%, specificity 99%, AUC 0.97), representing the highest diagnostic accuracy among all tested biomarkers. This high-affinity Fc receptor upregulation reflects neutrophil activation during bacterial infections, consistent with studies by Ito and Ishida (2020) showing CD64's utility in distinguishing bacterial from viral pneumonia in children [5].</w:t>
      </w:r>
    </w:p>
    <w:p w14:paraId="47388D7B">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 xml:space="preserve"> </w:t>
      </w:r>
    </w:p>
    <w:p w14:paraId="5F987CBA">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Our study demonstrated strong correlations between biomarker levels and clinical severity. Patients requiring ICU admission showed significantly higher CRP (64.74±51.32 vs. 27.84±28.07 mg/L, p=0.001). Similarly, mechanical ventilation requirement correlated with elevated inflammatory markers, particularly the neutrophil/monocyte CD64 ratio (p=0.020). These associations support findings by Florin et al. (2020), who demonstrated that elevated biomarkers correlate with severe complications in pediatric community-acquired pneumonia [6]. The relationship between mechanical ventilation and mortality observed in our study aligns with research by Meliyanti et al. (2021) and Amin et al. (2023), who identified significant mortality risks associated with mechanical ventilation in pediatric pneumonia patients [8,9].</w:t>
      </w:r>
    </w:p>
    <w:p w14:paraId="77F5CBA0">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Clinical Respiratory Score analysis revealed a progressive relationship between biomarker levels and disease severity. CRP levels increased significantly across severity groups (13.24±26.29 to 66.32±52.95 mg/L, p=0.001).</w:t>
      </w:r>
    </w:p>
    <w:p w14:paraId="2B91B415">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strong positive correlations observed between inflammatory markers CRP-neutrophil CD64: r=0.667, p&lt;0.001) suggest coordinated immune responses during pneumonia. Our correlation findings support the work of Williams et al. (2024), who identified transcriptomic biomarkers associated with disease severity in childhood pneumonia [12].</w:t>
      </w:r>
    </w:p>
    <w:p w14:paraId="0FB66652">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Our findings revealed significant hematological changes, including elevated WBC counts and thrombocytopenia in pneumonia cases. These alterations align with studies by Güven and Kışlal (2022) and Ruan et al. (2024), who demonstrated significant differences in hematological markers between children with bacterial pneumonia and other respiratory conditions [13,14]. The biochemical changes observed, including hypoproteinemia and elevated CRP levels, support the inflammatory response patterns described by Wrotek et al. (2022) in their analysis of serum inflammatory markers in pediatric pneumonia [15].</w:t>
      </w:r>
    </w:p>
    <w:p w14:paraId="637FFF59">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While CRP demonstrated good diagnostic performance (sensitivity 80%, specificity 87%, AUC 0.89), consistent with findings by Ayaz et al. (2024) who reported similar diagnostic accuracy for CRP in pediatric pneumonia [18], the neutrophil-to-lymphocyte CD64 ratio showed superior accuracy. This finding supports the advocacy by Principi and Esposito (2017) for multi-marker approaches in pediatric pneumonia diagnosis [17]. The integration of biomarkers into prediction models, as demonstrated by Ramgopal et al. (2023), shows promise for improving diagnostic accuracy [18].</w:t>
      </w:r>
    </w:p>
    <w:p w14:paraId="4073F5F0">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Our findings regarding reduced vitamin supplementation in cases (46.6% vs. 73%, p=0.002) align with studies by Labib et al. (2021) and Saied et al. (2022), who demonstrated the protective effects of vitamin D, zinc, and vitamin A supplementation in pediatric pneumonia patients [19,20]. The higher rural residence prevalence in cases (73% vs. 37%, p&lt;0.001) likely reflects socioeconomic factors affecting healthcare access and nutritional status.</w:t>
      </w:r>
    </w:p>
    <w:p w14:paraId="3BAED4A6">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Despite finding no significant differences in vaccination rates between groups (both had 100% vaccination rates), our results align with studies by Malchrzak et al. (2023) and Tian et al. (2023), who demonstrated that high vaccination coverage can be achieved but may not completely eliminate pneumonia risk, suggesting the importance of additional factors such as nutritional status and immune response markers [21,22].</w:t>
      </w:r>
    </w:p>
    <w:p w14:paraId="3D20C3B0">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significant differences in vital signs observed between cases and controls, including tachycardia, tachypnea, fever, and hypoxemia, are consistent with findings by Goodman et al. (2019) and Thompson et al. (2018), who emphasized the importance of these clinical indicators in pneumonia severity assessment [23,24].</w:t>
      </w:r>
    </w:p>
    <w:p w14:paraId="2D00198B">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association between prolonged hospitalization and elevated inflammatory markers observed in our study supports the prognostic utility of these biomarkers. Patients with hospital stays &gt;1 week showed significantly elevated CRP, indicating ongoing inflammatory response. This relationship between biomarker levels and clinical outcomes reinforces the findings of Koh et al. (2017), who identified risk factors for mortality in children with pneumonia admitted to pediatric intensive care units [25].</w:t>
      </w:r>
    </w:p>
    <w:p w14:paraId="77E0C4D5">
      <w:pPr>
        <w:widowControl w:val="0"/>
        <w:autoSpaceDE w:val="0"/>
        <w:autoSpaceDN w:val="0"/>
        <w:adjustRightInd w:val="0"/>
        <w:spacing w:after="0" w:line="480" w:lineRule="auto"/>
        <w:jc w:val="both"/>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diagnostic performance characteristics of our non-classic biomarkers suggest potential for clinical implementation. The superior performance of neutrophil CD64 ratios, particularly the neutrophil-to-lymphocyte CD64 ratio (AUC 0.97), indicates these markers could enhance current diagnostic algorithms. This aligns with the recommendations by Uwaezuoke and Ayuk (2017) for incorporating novel biomarkers into pediatric pneumonia management protocols [26].</w:t>
      </w:r>
    </w:p>
    <w:p w14:paraId="04EC0955">
      <w:pPr>
        <w:widowControl w:val="0"/>
        <w:autoSpaceDE w:val="0"/>
        <w:autoSpaceDN w:val="0"/>
        <w:adjustRightInd w:val="0"/>
        <w:spacing w:after="0" w:line="480" w:lineRule="auto"/>
        <w:rPr>
          <w:rFonts w:asciiTheme="majorBidi" w:hAnsiTheme="majorBidi" w:cstheme="majorBidi"/>
          <w:b/>
          <w:bCs/>
          <w:caps/>
          <w:sz w:val="24"/>
          <w:szCs w:val="24"/>
        </w:rPr>
      </w:pPr>
      <w:r>
        <w:rPr>
          <w:rFonts w:asciiTheme="majorBidi" w:hAnsiTheme="majorBidi" w:cstheme="majorBidi"/>
          <w:b/>
          <w:bCs/>
          <w:sz w:val="24"/>
          <w:szCs w:val="24"/>
        </w:rPr>
        <w:t>Conclusions</w:t>
      </w:r>
    </w:p>
    <w:p w14:paraId="6E2EAF5C">
      <w:pPr>
        <w:spacing w:line="48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This study demonstrates that non-classic biomarkers,  neutrophil CD64 expression, and their ratios, offer significant advantages for pediatric pneumonia diagnosis and prognosis assessment. The superior diagnostic performance of the neutrophil-to-lymphocyte CD64 ratio (AUC 0.97) suggests its potential as a premier biomarker for clinical implementation. These findings support the integration of immune response markers into pediatric pneumonia management protocols, potentially improving early diagnosis, risk stratification, and clinical outcomes.</w:t>
      </w:r>
    </w:p>
    <w:p w14:paraId="100A4014">
      <w:pPr>
        <w:spacing w:line="480" w:lineRule="auto"/>
        <w:rPr>
          <w:rFonts w:eastAsia="Calibri" w:asciiTheme="majorBidi" w:hAnsiTheme="majorBidi" w:cstheme="majorBidi"/>
          <w:b/>
          <w:bCs/>
          <w:sz w:val="24"/>
          <w:szCs w:val="24"/>
          <w:lang w:val="en-US"/>
        </w:rPr>
      </w:pPr>
      <w:r>
        <w:rPr>
          <w:rFonts w:eastAsia="Calibri" w:asciiTheme="majorBidi" w:hAnsiTheme="majorBidi" w:cstheme="majorBidi"/>
          <w:b/>
          <w:bCs/>
          <w:sz w:val="24"/>
          <w:szCs w:val="24"/>
          <w:lang w:val="en-US"/>
        </w:rPr>
        <w:t>Availability of Data and Materials:</w:t>
      </w:r>
    </w:p>
    <w:p w14:paraId="74490938">
      <w:pPr>
        <w:spacing w:line="480" w:lineRule="auto"/>
        <w:rPr>
          <w:rFonts w:eastAsia="Calibri" w:asciiTheme="majorBidi" w:hAnsiTheme="majorBidi" w:cstheme="majorBidi"/>
          <w:sz w:val="24"/>
          <w:szCs w:val="24"/>
          <w:lang w:val="en-US"/>
        </w:rPr>
      </w:pPr>
      <w:r>
        <w:rPr>
          <w:rFonts w:eastAsia="Calibri" w:asciiTheme="majorBidi" w:hAnsiTheme="majorBidi" w:cstheme="majorBidi"/>
          <w:sz w:val="24"/>
          <w:szCs w:val="24"/>
          <w:lang w:val="en-US"/>
        </w:rPr>
        <w:t>The corresponding author can be contacted to request the data set of this work.</w:t>
      </w:r>
    </w:p>
    <w:p w14:paraId="30F38DE6">
      <w:pPr>
        <w:spacing w:line="480" w:lineRule="auto"/>
        <w:rPr>
          <w:rFonts w:eastAsia="Calibri" w:asciiTheme="majorBidi" w:hAnsiTheme="majorBidi" w:cstheme="majorBidi"/>
          <w:sz w:val="24"/>
          <w:szCs w:val="24"/>
          <w:lang w:val="en-US"/>
        </w:rPr>
      </w:pPr>
      <w:r>
        <w:rPr>
          <w:rFonts w:eastAsia="Calibri" w:asciiTheme="majorBidi" w:hAnsiTheme="majorBidi" w:cstheme="majorBidi"/>
          <w:b/>
          <w:bCs/>
          <w:sz w:val="24"/>
          <w:szCs w:val="24"/>
          <w:lang w:val="en-US"/>
        </w:rPr>
        <w:t>Declaration of Conflicting Interests:</w:t>
      </w:r>
      <w:r>
        <w:rPr>
          <w:rFonts w:eastAsia="Calibri" w:asciiTheme="majorBidi" w:hAnsiTheme="majorBidi" w:cstheme="majorBidi"/>
          <w:sz w:val="24"/>
          <w:szCs w:val="24"/>
          <w:lang w:val="en-US"/>
        </w:rPr>
        <w:t xml:space="preserve"> No conflicts of interest have been revealed about this article's research, authorship, or publishing.</w:t>
      </w:r>
    </w:p>
    <w:p w14:paraId="0A978168">
      <w:pPr>
        <w:spacing w:line="480" w:lineRule="auto"/>
        <w:rPr>
          <w:rFonts w:eastAsia="Calibri" w:asciiTheme="majorBidi" w:hAnsiTheme="majorBidi" w:cstheme="majorBidi"/>
          <w:sz w:val="24"/>
          <w:szCs w:val="24"/>
          <w:lang w:val="en-US"/>
        </w:rPr>
      </w:pPr>
      <w:r>
        <w:rPr>
          <w:rFonts w:eastAsia="Calibri" w:asciiTheme="majorBidi" w:hAnsiTheme="majorBidi" w:cstheme="majorBidi"/>
          <w:b/>
          <w:bCs/>
          <w:sz w:val="24"/>
          <w:szCs w:val="24"/>
          <w:lang w:val="en-US"/>
        </w:rPr>
        <w:t>Funding:</w:t>
      </w:r>
      <w:r>
        <w:rPr>
          <w:rFonts w:eastAsia="Calibri" w:asciiTheme="majorBidi" w:hAnsiTheme="majorBidi" w:cstheme="majorBidi"/>
          <w:sz w:val="24"/>
          <w:szCs w:val="24"/>
          <w:lang w:val="en-US"/>
        </w:rPr>
        <w:t xml:space="preserve"> The authors received no financial support for this article's research, authorship, and/or publication.</w:t>
      </w:r>
    </w:p>
    <w:p w14:paraId="714C25E1">
      <w:pPr>
        <w:spacing w:line="480" w:lineRule="auto"/>
        <w:rPr>
          <w:rFonts w:eastAsia="Calibri" w:asciiTheme="majorBidi" w:hAnsiTheme="majorBidi" w:cstheme="majorBidi"/>
          <w:sz w:val="24"/>
          <w:szCs w:val="24"/>
          <w:lang w:val="en-US"/>
        </w:rPr>
      </w:pPr>
    </w:p>
    <w:p w14:paraId="1156244C">
      <w:pPr>
        <w:spacing w:line="480" w:lineRule="auto"/>
        <w:rPr>
          <w:rFonts w:eastAsia="Calibri" w:asciiTheme="majorBidi" w:hAnsiTheme="majorBidi" w:cstheme="majorBidi"/>
          <w:sz w:val="24"/>
          <w:szCs w:val="24"/>
          <w:lang w:val="en-US"/>
        </w:rPr>
      </w:pPr>
    </w:p>
    <w:p w14:paraId="30BB3F51">
      <w:pPr>
        <w:spacing w:line="480" w:lineRule="auto"/>
        <w:rPr>
          <w:rFonts w:eastAsia="Calibri" w:asciiTheme="minorBidi" w:hAnsiTheme="minorBidi"/>
          <w:lang w:val="en-US"/>
        </w:rPr>
        <w:sectPr>
          <w:pgSz w:w="12240" w:h="15840"/>
          <w:pgMar w:top="1440" w:right="1302" w:bottom="1440" w:left="1440" w:header="709" w:footer="709" w:gutter="0"/>
          <w:cols w:space="708" w:num="1"/>
          <w:docGrid w:linePitch="360" w:charSpace="0"/>
        </w:sectPr>
      </w:pPr>
    </w:p>
    <w:p w14:paraId="1A78D9C0">
      <w:pPr>
        <w:widowControl w:val="0"/>
        <w:autoSpaceDE w:val="0"/>
        <w:autoSpaceDN w:val="0"/>
        <w:adjustRightInd w:val="0"/>
        <w:spacing w:after="0" w:line="480" w:lineRule="auto"/>
        <w:jc w:val="both"/>
        <w:rPr>
          <w:rFonts w:eastAsia="Calibri" w:asciiTheme="minorBidi" w:hAnsiTheme="minorBidi"/>
          <w:bCs/>
        </w:rPr>
      </w:pPr>
      <w:r>
        <w:rPr>
          <w:rFonts w:eastAsia="Calibri" w:asciiTheme="minorBidi" w:hAnsiTheme="minorBidi"/>
          <w:b/>
          <w:lang w:val="en-US"/>
        </w:rPr>
        <w:t>References</w:t>
      </w:r>
    </w:p>
    <w:p w14:paraId="29464DA1">
      <w:pPr>
        <w:numPr>
          <w:ilvl w:val="0"/>
          <w:numId w:val="1"/>
        </w:numPr>
        <w:spacing w:line="480" w:lineRule="auto"/>
        <w:jc w:val="both"/>
        <w:rPr>
          <w:rFonts w:asciiTheme="minorBidi" w:hAnsiTheme="minorBidi"/>
          <w:lang w:val="en-US"/>
        </w:rPr>
      </w:pPr>
      <w:r>
        <w:rPr>
          <w:rFonts w:asciiTheme="minorBidi" w:hAnsiTheme="minorBidi"/>
          <w:lang w:val="en-US"/>
        </w:rPr>
        <w:t>Yadav KK, Awasthi S. Childhood pneumonia: What's unchanged, and what's new? Indian journal of pediatrics. 2023;90(7):693-9.</w:t>
      </w:r>
    </w:p>
    <w:p w14:paraId="091CD9C8">
      <w:pPr>
        <w:numPr>
          <w:ilvl w:val="0"/>
          <w:numId w:val="1"/>
        </w:numPr>
        <w:spacing w:line="480" w:lineRule="auto"/>
        <w:jc w:val="both"/>
        <w:rPr>
          <w:rFonts w:asciiTheme="minorBidi" w:hAnsiTheme="minorBidi"/>
          <w:lang w:val="en-US"/>
        </w:rPr>
      </w:pPr>
      <w:r>
        <w:rPr>
          <w:rFonts w:asciiTheme="minorBidi" w:hAnsiTheme="minorBidi"/>
          <w:lang w:val="en-US"/>
        </w:rPr>
        <w:t>Li Y, Min L, Zhang X. Usefulness of procalcitonin (PCT), C-reactive protein (CRP), and white blood cell (WBC) levels in the differential diagnosis of acute bacterial, viral, and mycoplasmal respiratory tract infections in children. BMC Pulmonary Medicine. 2021;21:1-8.</w:t>
      </w:r>
    </w:p>
    <w:p w14:paraId="32DB7B4A">
      <w:pPr>
        <w:numPr>
          <w:ilvl w:val="0"/>
          <w:numId w:val="1"/>
        </w:numPr>
        <w:spacing w:line="480" w:lineRule="auto"/>
        <w:jc w:val="both"/>
        <w:rPr>
          <w:rFonts w:asciiTheme="minorBidi" w:hAnsiTheme="minorBidi"/>
          <w:lang w:val="en-US"/>
        </w:rPr>
      </w:pPr>
      <w:r>
        <w:rPr>
          <w:rFonts w:asciiTheme="minorBidi" w:hAnsiTheme="minorBidi"/>
          <w:lang w:val="en-US"/>
        </w:rPr>
        <w:t>Pratt MT, Abdalla T, Richmond PC, et al. Prevalence of respiratory viruses in community-acquired pneumonia in children: a systematic review and meta-analysis. The Lancet Child &amp; Adolescent Health. 2022;6(8):555-70.</w:t>
      </w:r>
    </w:p>
    <w:p w14:paraId="2915911D">
      <w:pPr>
        <w:numPr>
          <w:ilvl w:val="0"/>
          <w:numId w:val="1"/>
        </w:numPr>
        <w:spacing w:line="480" w:lineRule="auto"/>
        <w:jc w:val="both"/>
        <w:rPr>
          <w:rFonts w:asciiTheme="minorBidi" w:hAnsiTheme="minorBidi"/>
          <w:lang w:val="en-US"/>
        </w:rPr>
      </w:pPr>
      <w:r>
        <w:rPr>
          <w:rFonts w:asciiTheme="minorBidi" w:hAnsiTheme="minorBidi"/>
          <w:lang w:val="en-US"/>
        </w:rPr>
        <w:t>Mohsin Z, Hasan M, Ali H, Al-Saadi H. Comparison of blood biomarkers sTREM-1, C-reactive protein (CRP), CHI3L1 and WBC levels in pediatric patients with pneumonia. Polish Annals of Medicine. 2024;31(2).</w:t>
      </w:r>
    </w:p>
    <w:p w14:paraId="3B6CC719">
      <w:pPr>
        <w:numPr>
          <w:ilvl w:val="0"/>
          <w:numId w:val="1"/>
        </w:numPr>
        <w:spacing w:line="480" w:lineRule="auto"/>
        <w:jc w:val="both"/>
        <w:rPr>
          <w:rFonts w:asciiTheme="minorBidi" w:hAnsiTheme="minorBidi"/>
          <w:lang w:val="en-US"/>
        </w:rPr>
      </w:pPr>
      <w:r>
        <w:rPr>
          <w:rFonts w:asciiTheme="minorBidi" w:hAnsiTheme="minorBidi"/>
          <w:lang w:val="en-US"/>
        </w:rPr>
        <w:t>Ito A, Ishida T. Diagnostic markers for community-acquired pneumonia. Annals of translational medicine. 2020;8(9).</w:t>
      </w:r>
    </w:p>
    <w:p w14:paraId="571EE173">
      <w:pPr>
        <w:numPr>
          <w:ilvl w:val="0"/>
          <w:numId w:val="1"/>
        </w:numPr>
        <w:spacing w:line="480" w:lineRule="auto"/>
        <w:jc w:val="both"/>
        <w:rPr>
          <w:rFonts w:asciiTheme="minorBidi" w:hAnsiTheme="minorBidi"/>
          <w:lang w:val="en-US"/>
        </w:rPr>
      </w:pPr>
      <w:r>
        <w:rPr>
          <w:rFonts w:asciiTheme="minorBidi" w:hAnsiTheme="minorBidi"/>
          <w:lang w:val="en-US"/>
        </w:rPr>
        <w:t>Nayani K, Naeem R, Munir O, et al. The clinical respiratory score predicts paediatric critical care disposition in children with respiratory distress presenting to the emergency department. BMC pediatrics. 2018;18(1):339.</w:t>
      </w:r>
    </w:p>
    <w:p w14:paraId="56BBCAAC">
      <w:pPr>
        <w:numPr>
          <w:ilvl w:val="0"/>
          <w:numId w:val="1"/>
        </w:numPr>
        <w:spacing w:line="480" w:lineRule="auto"/>
        <w:jc w:val="both"/>
        <w:rPr>
          <w:rFonts w:asciiTheme="minorBidi" w:hAnsiTheme="minorBidi"/>
          <w:lang w:val="en-US"/>
        </w:rPr>
      </w:pPr>
      <w:r>
        <w:rPr>
          <w:rFonts w:asciiTheme="minorBidi" w:hAnsiTheme="minorBidi"/>
          <w:lang w:val="en-US"/>
        </w:rPr>
        <w:t>Florin TA, Ambroggio L, Brokamp C. Biomarkers and disease severity in children with community-acquired pneumonia. Pediatrics. 2020;145.</w:t>
      </w:r>
    </w:p>
    <w:p w14:paraId="7D5B16C7">
      <w:pPr>
        <w:numPr>
          <w:ilvl w:val="0"/>
          <w:numId w:val="1"/>
        </w:numPr>
        <w:spacing w:line="480" w:lineRule="auto"/>
        <w:jc w:val="both"/>
        <w:rPr>
          <w:rFonts w:asciiTheme="minorBidi" w:hAnsiTheme="minorBidi"/>
          <w:lang w:val="en-US"/>
        </w:rPr>
      </w:pPr>
      <w:r>
        <w:rPr>
          <w:rFonts w:asciiTheme="minorBidi" w:hAnsiTheme="minorBidi"/>
          <w:lang w:val="en-US"/>
        </w:rPr>
        <w:t>Meliyanti A, Rusmawatiningtyas D, Makrufardi F. Factors associated with mortality in pediatric pneumonia patients supported with mechanical ventilation in developing country. Heliyon. 2021;7.</w:t>
      </w:r>
    </w:p>
    <w:p w14:paraId="2A85B885">
      <w:pPr>
        <w:numPr>
          <w:ilvl w:val="0"/>
          <w:numId w:val="1"/>
        </w:numPr>
        <w:spacing w:line="480" w:lineRule="auto"/>
        <w:jc w:val="both"/>
        <w:rPr>
          <w:rFonts w:asciiTheme="minorBidi" w:hAnsiTheme="minorBidi"/>
          <w:lang w:val="en-US"/>
        </w:rPr>
      </w:pPr>
      <w:r>
        <w:rPr>
          <w:rFonts w:asciiTheme="minorBidi" w:hAnsiTheme="minorBidi"/>
          <w:lang w:val="en-US"/>
        </w:rPr>
        <w:t>Amin R, Verma R, Bai YQ. Incidence and mortality of children receiving home mechanical ventilation. Pediatrics. 2023;151:e2022059898.</w:t>
      </w:r>
    </w:p>
    <w:p w14:paraId="67049344">
      <w:pPr>
        <w:numPr>
          <w:ilvl w:val="0"/>
          <w:numId w:val="1"/>
        </w:numPr>
        <w:spacing w:line="480" w:lineRule="auto"/>
        <w:jc w:val="both"/>
        <w:rPr>
          <w:rFonts w:asciiTheme="minorBidi" w:hAnsiTheme="minorBidi"/>
          <w:lang w:val="en-US"/>
        </w:rPr>
      </w:pPr>
      <w:r>
        <w:rPr>
          <w:rFonts w:asciiTheme="minorBidi" w:hAnsiTheme="minorBidi"/>
          <w:lang w:val="en-US"/>
        </w:rPr>
        <w:t>Williams DJ, Gautam S, Creech CB. Transcriptomic Biomarkers Associated with Microbiological Etiology and Disease Severity in Childhood Pneumonia. J Infect Dis. 2024;jiae491.</w:t>
      </w:r>
    </w:p>
    <w:p w14:paraId="35928673">
      <w:pPr>
        <w:numPr>
          <w:ilvl w:val="0"/>
          <w:numId w:val="1"/>
        </w:numPr>
        <w:spacing w:line="480" w:lineRule="auto"/>
        <w:jc w:val="both"/>
        <w:rPr>
          <w:rFonts w:asciiTheme="minorBidi" w:hAnsiTheme="minorBidi"/>
          <w:lang w:val="en-US"/>
        </w:rPr>
      </w:pPr>
      <w:r>
        <w:rPr>
          <w:rFonts w:asciiTheme="minorBidi" w:hAnsiTheme="minorBidi"/>
          <w:lang w:val="en-US"/>
        </w:rPr>
        <w:t>Güven D, Kışlal FM. The diagnostic value of complete blood parameters in determining the severity of community-acquired pneumonia in children. J Health Sci Med. 2022;5:1592-1599.</w:t>
      </w:r>
    </w:p>
    <w:p w14:paraId="513CAF16">
      <w:pPr>
        <w:numPr>
          <w:ilvl w:val="0"/>
          <w:numId w:val="1"/>
        </w:numPr>
        <w:spacing w:line="480" w:lineRule="auto"/>
        <w:jc w:val="both"/>
        <w:rPr>
          <w:rFonts w:asciiTheme="minorBidi" w:hAnsiTheme="minorBidi"/>
          <w:lang w:val="en-US"/>
        </w:rPr>
      </w:pPr>
      <w:r>
        <w:rPr>
          <w:rFonts w:asciiTheme="minorBidi" w:hAnsiTheme="minorBidi"/>
          <w:lang w:val="en-US"/>
        </w:rPr>
        <w:t>Ruan J, Fu Z, Ying L. Clinical differences between Mycoplasma pneumoniae pneumonia and Streptococcus pneumoniae pneumonia: a case control study. Front Pediatr. 2024;12:1409687.</w:t>
      </w:r>
    </w:p>
    <w:p w14:paraId="2015B982">
      <w:pPr>
        <w:numPr>
          <w:ilvl w:val="0"/>
          <w:numId w:val="1"/>
        </w:numPr>
        <w:spacing w:line="480" w:lineRule="auto"/>
        <w:jc w:val="both"/>
        <w:rPr>
          <w:rFonts w:asciiTheme="minorBidi" w:hAnsiTheme="minorBidi"/>
          <w:lang w:val="en-US"/>
        </w:rPr>
      </w:pPr>
      <w:r>
        <w:rPr>
          <w:rFonts w:asciiTheme="minorBidi" w:hAnsiTheme="minorBidi"/>
          <w:lang w:val="en-US"/>
        </w:rPr>
        <w:t>Wrotek A, Robakiewicz J, Pawlik K. The etiology of community-acquired pneumonia correlates with serum inflammatory markers in children. J Clin Med. 2022;11:5506.</w:t>
      </w:r>
    </w:p>
    <w:p w14:paraId="7C7A73E2">
      <w:pPr>
        <w:numPr>
          <w:ilvl w:val="0"/>
          <w:numId w:val="1"/>
        </w:numPr>
        <w:spacing w:line="480" w:lineRule="auto"/>
        <w:jc w:val="both"/>
        <w:rPr>
          <w:rFonts w:asciiTheme="minorBidi" w:hAnsiTheme="minorBidi"/>
          <w:lang w:val="en-US"/>
        </w:rPr>
      </w:pPr>
      <w:r>
        <w:rPr>
          <w:rFonts w:asciiTheme="minorBidi" w:hAnsiTheme="minorBidi"/>
          <w:lang w:val="en-US"/>
        </w:rPr>
        <w:t>Ayaz N, Ilyas A, Iqbal A. Evaluating the diagnostic accuracy of C-reactive protein in diagnosing pneumonia in children using blood culture as the gold standard. Pak J Health Sci. 2024;93-97.</w:t>
      </w:r>
    </w:p>
    <w:p w14:paraId="00BCA622">
      <w:pPr>
        <w:numPr>
          <w:ilvl w:val="0"/>
          <w:numId w:val="1"/>
        </w:numPr>
        <w:spacing w:line="480" w:lineRule="auto"/>
        <w:jc w:val="both"/>
        <w:rPr>
          <w:rFonts w:asciiTheme="minorBidi" w:hAnsiTheme="minorBidi"/>
          <w:lang w:val="en-US"/>
        </w:rPr>
      </w:pPr>
      <w:r>
        <w:rPr>
          <w:rFonts w:asciiTheme="minorBidi" w:hAnsiTheme="minorBidi"/>
          <w:lang w:val="en-US"/>
        </w:rPr>
        <w:t>Principi N, Esposito S. Biomarkers in pediatric community-acquired pneumonia. Int J Mol Sci. 2017;18:447.</w:t>
      </w:r>
    </w:p>
    <w:p w14:paraId="603E11BC">
      <w:pPr>
        <w:numPr>
          <w:ilvl w:val="0"/>
          <w:numId w:val="1"/>
        </w:numPr>
        <w:spacing w:line="480" w:lineRule="auto"/>
        <w:jc w:val="both"/>
        <w:rPr>
          <w:rFonts w:asciiTheme="minorBidi" w:hAnsiTheme="minorBidi"/>
          <w:lang w:val="en-US"/>
        </w:rPr>
      </w:pPr>
      <w:r>
        <w:rPr>
          <w:rFonts w:asciiTheme="minorBidi" w:hAnsiTheme="minorBidi"/>
          <w:lang w:val="en-US"/>
        </w:rPr>
        <w:t>Ramgopal S, Ambroggio L, Lorenz D. Incorporation of biomarkers into a prediction model for paediatric radiographic pneumonia. ERJ Open Res. 2023;9.</w:t>
      </w:r>
    </w:p>
    <w:p w14:paraId="483B39A8">
      <w:pPr>
        <w:numPr>
          <w:ilvl w:val="0"/>
          <w:numId w:val="1"/>
        </w:numPr>
        <w:spacing w:line="480" w:lineRule="auto"/>
        <w:jc w:val="both"/>
        <w:rPr>
          <w:rFonts w:asciiTheme="minorBidi" w:hAnsiTheme="minorBidi"/>
          <w:lang w:val="en-US"/>
        </w:rPr>
      </w:pPr>
      <w:r>
        <w:rPr>
          <w:rFonts w:asciiTheme="minorBidi" w:hAnsiTheme="minorBidi"/>
          <w:lang w:val="en-US"/>
        </w:rPr>
        <w:t>Labib JR, Ibrahem SK, Ismail MM. Vitamin D supplementation and improvement of pneumonic children at a tertiary pediatric hospital in Egypt: A randomized controlled trial. Medicine. 2021;100:e25011.</w:t>
      </w:r>
    </w:p>
    <w:p w14:paraId="231FB79A">
      <w:pPr>
        <w:numPr>
          <w:ilvl w:val="0"/>
          <w:numId w:val="1"/>
        </w:numPr>
        <w:spacing w:line="480" w:lineRule="auto"/>
        <w:jc w:val="both"/>
        <w:rPr>
          <w:rFonts w:asciiTheme="minorBidi" w:hAnsiTheme="minorBidi"/>
          <w:lang w:val="en-US"/>
        </w:rPr>
      </w:pPr>
      <w:r>
        <w:rPr>
          <w:rFonts w:asciiTheme="minorBidi" w:hAnsiTheme="minorBidi"/>
          <w:lang w:val="en-US"/>
        </w:rPr>
        <w:t>Saied A, El Borolossy RM, Ramzy MA. Effect of zinc versus vitamin A supplementation on pediatric patients with community-acquired pneumonia. Front Pharmacol. 2022;13:933998.</w:t>
      </w:r>
    </w:p>
    <w:p w14:paraId="12D3530F">
      <w:pPr>
        <w:numPr>
          <w:ilvl w:val="0"/>
          <w:numId w:val="1"/>
        </w:numPr>
        <w:spacing w:line="480" w:lineRule="auto"/>
        <w:jc w:val="both"/>
        <w:rPr>
          <w:rFonts w:asciiTheme="minorBidi" w:hAnsiTheme="minorBidi"/>
          <w:lang w:val="en-US"/>
        </w:rPr>
      </w:pPr>
      <w:r>
        <w:rPr>
          <w:rFonts w:asciiTheme="minorBidi" w:hAnsiTheme="minorBidi"/>
          <w:lang w:val="en-US"/>
        </w:rPr>
        <w:t>Malchrzak W, Babicki M, Mastalerz-Migas A. Vaccination against Streptococcus pneumoniae in Children Born between 2015 and 2018 in Poland—How Has the Introduction of Free Compulsory Pneumococcal Vaccination Affected Its Uptake? Vaccines. 2023;11:1654.</w:t>
      </w:r>
    </w:p>
    <w:p w14:paraId="50261E32">
      <w:pPr>
        <w:numPr>
          <w:ilvl w:val="0"/>
          <w:numId w:val="1"/>
        </w:numPr>
        <w:spacing w:line="480" w:lineRule="auto"/>
        <w:jc w:val="both"/>
        <w:rPr>
          <w:rFonts w:asciiTheme="minorBidi" w:hAnsiTheme="minorBidi"/>
          <w:lang w:val="en-US"/>
        </w:rPr>
      </w:pPr>
      <w:r>
        <w:rPr>
          <w:rFonts w:asciiTheme="minorBidi" w:hAnsiTheme="minorBidi"/>
          <w:lang w:val="en-US"/>
        </w:rPr>
        <w:t>Tian J, Zheng B, Yang L. Effectiveness of 13-valent pneumococcal conjugate vaccine on all-cause pneumonia in children under 5 years in Shanghai, China: An observational study. Vaccine. 2023;41:5979-5986.</w:t>
      </w:r>
    </w:p>
    <w:p w14:paraId="61614365">
      <w:pPr>
        <w:numPr>
          <w:ilvl w:val="0"/>
          <w:numId w:val="1"/>
        </w:numPr>
        <w:spacing w:line="480" w:lineRule="auto"/>
        <w:jc w:val="both"/>
        <w:rPr>
          <w:rFonts w:asciiTheme="minorBidi" w:hAnsiTheme="minorBidi"/>
          <w:lang w:val="en-US"/>
        </w:rPr>
      </w:pPr>
      <w:r>
        <w:rPr>
          <w:rFonts w:asciiTheme="minorBidi" w:hAnsiTheme="minorBidi"/>
          <w:lang w:val="en-US"/>
        </w:rPr>
        <w:t>Goodman D, Crocker ME, Pervaiz F. Challenges in the diagnosis of paediatric pneumonia in intervention field trials: recommendations from a pneumonia field trial working group. Lancet Respir Med. 2019;7:1068-1083.</w:t>
      </w:r>
    </w:p>
    <w:p w14:paraId="6B6374B9">
      <w:pPr>
        <w:numPr>
          <w:ilvl w:val="0"/>
          <w:numId w:val="1"/>
        </w:numPr>
        <w:spacing w:line="480" w:lineRule="auto"/>
        <w:jc w:val="both"/>
        <w:rPr>
          <w:rFonts w:asciiTheme="minorBidi" w:hAnsiTheme="minorBidi"/>
          <w:lang w:val="en-US"/>
        </w:rPr>
      </w:pPr>
      <w:r>
        <w:rPr>
          <w:rFonts w:asciiTheme="minorBidi" w:hAnsiTheme="minorBidi"/>
          <w:lang w:val="en-US"/>
        </w:rPr>
        <w:t>Thompson M, Mayon-White R, Harnden A. Using vital signs to assess children with acute infections: a survey of current practice. Br J Gen Pract. 2018;58:236-241.</w:t>
      </w:r>
    </w:p>
    <w:p w14:paraId="6181C0C9">
      <w:pPr>
        <w:numPr>
          <w:ilvl w:val="0"/>
          <w:numId w:val="1"/>
        </w:numPr>
        <w:spacing w:line="480" w:lineRule="auto"/>
        <w:jc w:val="both"/>
        <w:rPr>
          <w:rFonts w:asciiTheme="minorBidi" w:hAnsiTheme="minorBidi"/>
          <w:lang w:val="en-US"/>
        </w:rPr>
      </w:pPr>
      <w:r>
        <w:rPr>
          <w:rFonts w:asciiTheme="minorBidi" w:hAnsiTheme="minorBidi"/>
          <w:lang w:val="en-US"/>
        </w:rPr>
        <w:t>Koh JWJ, Wong JJM, Sultana R. Risk factors for mortality in children with pneumonia admitted to the pediatric intensive care unit. Pediatr Pulmonol. 2017;52:1076-1084.</w:t>
      </w:r>
    </w:p>
    <w:p w14:paraId="49CDC84B">
      <w:pPr>
        <w:numPr>
          <w:ilvl w:val="0"/>
          <w:numId w:val="1"/>
        </w:numPr>
        <w:spacing w:line="480" w:lineRule="auto"/>
        <w:jc w:val="both"/>
        <w:rPr>
          <w:rFonts w:asciiTheme="minorBidi" w:hAnsiTheme="minorBidi"/>
          <w:lang w:val="en-US"/>
        </w:rPr>
      </w:pPr>
      <w:r>
        <w:rPr>
          <w:rFonts w:asciiTheme="minorBidi" w:hAnsiTheme="minorBidi"/>
          <w:lang w:val="en-US"/>
        </w:rPr>
        <w:t>Uwaezuoke SN, Ayuk AC. Prognostic scores and biomarkers for pediatric community-acquired pneumonia: how far have we come? Pediatr Health Med Ther. 2017;9-18.</w:t>
      </w:r>
    </w:p>
    <w:p w14:paraId="7689C6F3">
      <w:pPr>
        <w:spacing w:line="480" w:lineRule="auto"/>
        <w:rPr>
          <w:rFonts w:asciiTheme="minorBidi" w:hAnsiTheme="minorBidi"/>
        </w:rPr>
      </w:pPr>
    </w:p>
    <w:p w14:paraId="1EA25316"/>
    <w:p w14:paraId="545A41BE"/>
    <w:p w14:paraId="2598EC31"/>
    <w:sectPr>
      <w:pgSz w:w="12240" w:h="15840"/>
      <w:pgMar w:top="1440" w:right="1302" w:bottom="1440"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roman"/>
    <w:pitch w:val="default"/>
    <w:sig w:usb0="00000000" w:usb1="00000000" w:usb2="00000010" w:usb3="00000000" w:csb0="00020000"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eastAsiaTheme="majorEastAsia" w:cstheme="majorBidi"/>
        <w:sz w:val="28"/>
        <w:szCs w:val="28"/>
      </w:rPr>
      <w:id w:val="-1540436633"/>
      <w:docPartObj>
        <w:docPartGallery w:val="autotext"/>
      </w:docPartObj>
    </w:sdtPr>
    <w:sdtEndPr>
      <w:rPr>
        <w:rFonts w:asciiTheme="majorHAnsi" w:hAnsiTheme="majorHAnsi" w:eastAsiaTheme="majorEastAsia" w:cstheme="majorBidi"/>
        <w:sz w:val="28"/>
        <w:szCs w:val="28"/>
      </w:rPr>
    </w:sdtEndPr>
    <w:sdtContent>
      <w:p w14:paraId="14688DFA">
        <w:pPr>
          <w:pStyle w:val="15"/>
          <w:jc w:val="center"/>
          <w:rPr>
            <w:rFonts w:asciiTheme="majorHAnsi" w:hAnsiTheme="majorHAnsi" w:eastAsiaTheme="majorEastAsia" w:cstheme="majorBidi"/>
            <w:sz w:val="28"/>
            <w:szCs w:val="28"/>
          </w:rPr>
        </w:pPr>
        <w:r>
          <w:rPr>
            <w:rFonts w:asciiTheme="majorHAnsi" w:hAnsiTheme="majorHAnsi" w:eastAsiaTheme="majorEastAsia" w:cstheme="majorBidi"/>
            <w:sz w:val="28"/>
            <w:szCs w:val="28"/>
          </w:rPr>
          <w:t xml:space="preserve">~ </w:t>
        </w:r>
        <w:r>
          <w:rPr>
            <w:rFonts w:cs="Times New Roman" w:eastAsiaTheme="minorEastAsia"/>
          </w:rPr>
          <w:fldChar w:fldCharType="begin"/>
        </w:r>
        <w:r>
          <w:instrText xml:space="preserve"> PAGE    \* MERGEFORMAT </w:instrText>
        </w:r>
        <w:r>
          <w:rPr>
            <w:rFonts w:cs="Times New Roman" w:eastAsiaTheme="minorEastAsia"/>
          </w:rPr>
          <w:fldChar w:fldCharType="separate"/>
        </w:r>
        <w:r>
          <w:rPr>
            <w:rFonts w:asciiTheme="majorHAnsi" w:hAnsiTheme="majorHAnsi" w:eastAsiaTheme="majorEastAsia" w:cstheme="majorBidi"/>
            <w:sz w:val="28"/>
            <w:szCs w:val="28"/>
          </w:rPr>
          <w:t>20</w:t>
        </w:r>
        <w:r>
          <w:rPr>
            <w:rFonts w:asciiTheme="majorHAnsi" w:hAnsiTheme="majorHAnsi" w:eastAsiaTheme="majorEastAsia" w:cstheme="majorBidi"/>
            <w:sz w:val="28"/>
            <w:szCs w:val="28"/>
          </w:rPr>
          <w:fldChar w:fldCharType="end"/>
        </w:r>
        <w:r>
          <w:rPr>
            <w:rFonts w:asciiTheme="majorHAnsi" w:hAnsiTheme="majorHAnsi" w:eastAsiaTheme="majorEastAsia" w:cstheme="majorBidi"/>
            <w:sz w:val="28"/>
            <w:szCs w:val="28"/>
          </w:rPr>
          <w:t xml:space="preserve"> ~</w:t>
        </w:r>
      </w:p>
    </w:sdtContent>
  </w:sdt>
  <w:p w14:paraId="0A1B5E0F">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1516528140"/>
      <w:docPartObj>
        <w:docPartGallery w:val="autotext"/>
      </w:docPartObj>
    </w:sdtPr>
    <w:sdtEndPr>
      <w:rPr>
        <w:rStyle w:val="20"/>
      </w:rPr>
    </w:sdtEndPr>
    <w:sdtContent>
      <w:p w14:paraId="61718122">
        <w:pPr>
          <w:pStyle w:val="15"/>
          <w:framePr w:wrap="auto" w:vAnchor="text" w:hAnchor="margin" w:xAlign="right" w:y="1"/>
          <w:rPr>
            <w:rStyle w:val="20"/>
          </w:rPr>
        </w:pPr>
        <w:r>
          <w:rPr>
            <w:rStyle w:val="20"/>
          </w:rPr>
          <w:fldChar w:fldCharType="begin"/>
        </w:r>
        <w:r>
          <w:rPr>
            <w:rStyle w:val="20"/>
          </w:rPr>
          <w:instrText xml:space="preserve"> PAGE </w:instrText>
        </w:r>
        <w:r>
          <w:rPr>
            <w:rStyle w:val="20"/>
          </w:rPr>
          <w:fldChar w:fldCharType="end"/>
        </w:r>
      </w:p>
    </w:sdtContent>
  </w:sdt>
  <w:sdt>
    <w:sdtPr>
      <w:rPr>
        <w:rStyle w:val="20"/>
      </w:rPr>
      <w:id w:val="1568227979"/>
      <w:docPartObj>
        <w:docPartGallery w:val="autotext"/>
      </w:docPartObj>
    </w:sdtPr>
    <w:sdtEndPr>
      <w:rPr>
        <w:rStyle w:val="20"/>
      </w:rPr>
    </w:sdtEndPr>
    <w:sdtContent>
      <w:p w14:paraId="5A73DA6E">
        <w:pPr>
          <w:pStyle w:val="15"/>
          <w:framePr w:wrap="auto" w:vAnchor="text" w:hAnchor="margin" w:xAlign="right" w:y="1"/>
          <w:ind w:right="360"/>
          <w:rPr>
            <w:rStyle w:val="20"/>
          </w:rPr>
        </w:pPr>
        <w:r>
          <w:rPr>
            <w:rStyle w:val="20"/>
          </w:rPr>
          <w:fldChar w:fldCharType="begin"/>
        </w:r>
        <w:r>
          <w:rPr>
            <w:rStyle w:val="20"/>
          </w:rPr>
          <w:instrText xml:space="preserve"> PAGE </w:instrText>
        </w:r>
        <w:r>
          <w:rPr>
            <w:rStyle w:val="20"/>
          </w:rPr>
          <w:fldChar w:fldCharType="end"/>
        </w:r>
      </w:p>
    </w:sdtContent>
  </w:sdt>
  <w:p w14:paraId="298F8913">
    <w:pPr>
      <w:pStyle w:val="1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14268"/>
    <w:multiLevelType w:val="multilevel"/>
    <w:tmpl w:val="38F1426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B4348"/>
    <w:rsid w:val="000F2791"/>
    <w:rsid w:val="001C628D"/>
    <w:rsid w:val="0021071B"/>
    <w:rsid w:val="003C20BA"/>
    <w:rsid w:val="003F6103"/>
    <w:rsid w:val="00446749"/>
    <w:rsid w:val="005E1381"/>
    <w:rsid w:val="006711CF"/>
    <w:rsid w:val="006A1A94"/>
    <w:rsid w:val="0075682C"/>
    <w:rsid w:val="00815D89"/>
    <w:rsid w:val="00901C24"/>
    <w:rsid w:val="009339AA"/>
    <w:rsid w:val="009A0DA0"/>
    <w:rsid w:val="009C4263"/>
    <w:rsid w:val="00A454AE"/>
    <w:rsid w:val="00BD334E"/>
    <w:rsid w:val="00D92A95"/>
    <w:rsid w:val="00DE58BB"/>
    <w:rsid w:val="00EC773E"/>
    <w:rsid w:val="00FB4348"/>
    <w:rsid w:val="00FC49DA"/>
    <w:rsid w:val="08F66E77"/>
    <w:rsid w:val="1B8D78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CA" w:eastAsia="en-US" w:bidi="ar-SA"/>
    </w:rPr>
  </w:style>
  <w:style w:type="paragraph" w:styleId="2">
    <w:name w:val="heading 1"/>
    <w:basedOn w:val="1"/>
    <w:next w:val="1"/>
    <w:link w:val="24"/>
    <w:qFormat/>
    <w:uiPriority w:val="9"/>
    <w:pPr>
      <w:keepNext/>
      <w:keepLines/>
      <w:spacing w:before="480" w:after="0"/>
      <w:outlineLvl w:val="0"/>
    </w:pPr>
    <w:rPr>
      <w:rFonts w:asciiTheme="majorHAnsi" w:hAnsiTheme="majorHAnsi" w:eastAsiaTheme="majorEastAsia" w:cstheme="majorBidi"/>
      <w:b/>
      <w:bCs/>
      <w:color w:val="345B8A" w:themeColor="accent1" w:themeShade="B5"/>
      <w:sz w:val="32"/>
      <w:szCs w:val="32"/>
    </w:rPr>
  </w:style>
  <w:style w:type="paragraph" w:styleId="3">
    <w:name w:val="heading 2"/>
    <w:basedOn w:val="1"/>
    <w:next w:val="1"/>
    <w:link w:val="25"/>
    <w:semiHidden/>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6"/>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7"/>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6"/>
    <w:basedOn w:val="1"/>
    <w:next w:val="1"/>
    <w:link w:val="28"/>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4"/>
    <w:semiHidden/>
    <w:unhideWhenUsed/>
    <w:qFormat/>
    <w:uiPriority w:val="99"/>
    <w:pPr>
      <w:spacing w:after="0" w:line="240" w:lineRule="auto"/>
    </w:pPr>
    <w:rPr>
      <w:rFonts w:ascii="Segoe UI" w:hAnsi="Segoe UI" w:cs="Segoe UI"/>
      <w:sz w:val="18"/>
      <w:szCs w:val="18"/>
    </w:rPr>
  </w:style>
  <w:style w:type="paragraph" w:styleId="10">
    <w:name w:val="Body Text"/>
    <w:basedOn w:val="1"/>
    <w:link w:val="49"/>
    <w:qFormat/>
    <w:uiPriority w:val="1"/>
    <w:pPr>
      <w:widowControl w:val="0"/>
      <w:autoSpaceDE w:val="0"/>
      <w:autoSpaceDN w:val="0"/>
      <w:spacing w:after="0" w:line="240" w:lineRule="auto"/>
    </w:pPr>
    <w:rPr>
      <w:rFonts w:ascii="Times New Roman" w:hAnsi="Times New Roman" w:eastAsia="Times New Roman" w:cs="Times New Roman"/>
      <w:sz w:val="28"/>
      <w:szCs w:val="28"/>
      <w:lang w:val="en-US"/>
    </w:rPr>
  </w:style>
  <w:style w:type="paragraph" w:styleId="11">
    <w:name w:val="caption"/>
    <w:basedOn w:val="1"/>
    <w:next w:val="1"/>
    <w:unhideWhenUsed/>
    <w:qFormat/>
    <w:uiPriority w:val="35"/>
    <w:pPr>
      <w:keepNext/>
      <w:spacing w:after="200" w:line="240" w:lineRule="auto"/>
    </w:pPr>
    <w:rPr>
      <w:rFonts w:asciiTheme="majorBidi" w:hAnsiTheme="majorBidi" w:cstheme="majorBidi"/>
      <w:b/>
      <w:bCs/>
      <w:sz w:val="24"/>
      <w:szCs w:val="24"/>
    </w:rPr>
  </w:style>
  <w:style w:type="character" w:styleId="12">
    <w:name w:val="annotation reference"/>
    <w:basedOn w:val="7"/>
    <w:semiHidden/>
    <w:unhideWhenUsed/>
    <w:qFormat/>
    <w:uiPriority w:val="99"/>
    <w:rPr>
      <w:sz w:val="16"/>
      <w:szCs w:val="16"/>
    </w:rPr>
  </w:style>
  <w:style w:type="paragraph" w:styleId="13">
    <w:name w:val="annotation text"/>
    <w:basedOn w:val="1"/>
    <w:link w:val="32"/>
    <w:semiHidden/>
    <w:unhideWhenUsed/>
    <w:qFormat/>
    <w:uiPriority w:val="99"/>
    <w:pPr>
      <w:spacing w:line="240" w:lineRule="auto"/>
    </w:pPr>
    <w:rPr>
      <w:sz w:val="20"/>
      <w:szCs w:val="20"/>
    </w:rPr>
  </w:style>
  <w:style w:type="paragraph" w:styleId="14">
    <w:name w:val="annotation subject"/>
    <w:basedOn w:val="13"/>
    <w:next w:val="13"/>
    <w:link w:val="33"/>
    <w:semiHidden/>
    <w:unhideWhenUsed/>
    <w:uiPriority w:val="99"/>
    <w:rPr>
      <w:b/>
      <w:bCs/>
    </w:rPr>
  </w:style>
  <w:style w:type="paragraph" w:styleId="15">
    <w:name w:val="footer"/>
    <w:basedOn w:val="1"/>
    <w:link w:val="31"/>
    <w:unhideWhenUsed/>
    <w:uiPriority w:val="99"/>
    <w:pPr>
      <w:tabs>
        <w:tab w:val="center" w:pos="4680"/>
        <w:tab w:val="right" w:pos="9360"/>
      </w:tabs>
      <w:spacing w:after="0" w:line="240" w:lineRule="auto"/>
    </w:pPr>
  </w:style>
  <w:style w:type="character" w:styleId="16">
    <w:name w:val="footnote reference"/>
    <w:basedOn w:val="7"/>
    <w:semiHidden/>
    <w:unhideWhenUsed/>
    <w:uiPriority w:val="99"/>
    <w:rPr>
      <w:vertAlign w:val="superscript"/>
    </w:rPr>
  </w:style>
  <w:style w:type="paragraph" w:styleId="17">
    <w:name w:val="footnote text"/>
    <w:basedOn w:val="1"/>
    <w:link w:val="36"/>
    <w:semiHidden/>
    <w:unhideWhenUsed/>
    <w:uiPriority w:val="99"/>
    <w:pPr>
      <w:spacing w:after="0" w:line="240" w:lineRule="auto"/>
    </w:pPr>
    <w:rPr>
      <w:sz w:val="20"/>
      <w:szCs w:val="20"/>
    </w:rPr>
  </w:style>
  <w:style w:type="paragraph" w:styleId="18">
    <w:name w:val="header"/>
    <w:basedOn w:val="1"/>
    <w:link w:val="30"/>
    <w:unhideWhenUsed/>
    <w:uiPriority w:val="99"/>
    <w:pPr>
      <w:tabs>
        <w:tab w:val="center" w:pos="4680"/>
        <w:tab w:val="right" w:pos="9360"/>
      </w:tabs>
      <w:spacing w:after="0" w:line="240" w:lineRule="auto"/>
    </w:pPr>
  </w:style>
  <w:style w:type="character" w:styleId="19">
    <w:name w:val="Hyperlink"/>
    <w:basedOn w:val="7"/>
    <w:unhideWhenUsed/>
    <w:uiPriority w:val="99"/>
    <w:rPr>
      <w:color w:val="0000FF" w:themeColor="hyperlink"/>
      <w:u w:val="single"/>
      <w14:textFill>
        <w14:solidFill>
          <w14:schemeClr w14:val="hlink"/>
        </w14:solidFill>
      </w14:textFill>
    </w:rPr>
  </w:style>
  <w:style w:type="character" w:styleId="20">
    <w:name w:val="page number"/>
    <w:basedOn w:val="7"/>
    <w:semiHidden/>
    <w:unhideWhenUsed/>
    <w:uiPriority w:val="99"/>
  </w:style>
  <w:style w:type="paragraph" w:styleId="21">
    <w:name w:val="Subtitle"/>
    <w:basedOn w:val="1"/>
    <w:next w:val="1"/>
    <w:link w:val="50"/>
    <w:qFormat/>
    <w:uiPriority w:val="11"/>
    <w:pPr>
      <w:widowControl w:val="0"/>
      <w:autoSpaceDE w:val="0"/>
      <w:autoSpaceDN w:val="0"/>
      <w:adjustRightInd w:val="0"/>
      <w:spacing w:after="0" w:line="480" w:lineRule="auto"/>
      <w:jc w:val="both"/>
    </w:pPr>
    <w:rPr>
      <w:rFonts w:eastAsia="Calibri" w:asciiTheme="majorBidi" w:hAnsiTheme="majorBidi" w:cstheme="majorBidi"/>
      <w:sz w:val="24"/>
      <w:szCs w:val="24"/>
      <w:lang w:val="en-US"/>
    </w:rPr>
  </w:style>
  <w:style w:type="table" w:styleId="22">
    <w:name w:val="Table Grid"/>
    <w:basedOn w:val="8"/>
    <w:uiPriority w:val="0"/>
    <w:rPr>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Medium Shading 2 Accent 5"/>
    <w:basedOn w:val="8"/>
    <w:unhideWhenUsed/>
    <w:uiPriority w:val="64"/>
    <w:rPr>
      <w:lang w:val="en-CA"/>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character" w:customStyle="1" w:styleId="24">
    <w:name w:val="Heading 1 Char"/>
    <w:basedOn w:val="7"/>
    <w:link w:val="2"/>
    <w:uiPriority w:val="9"/>
    <w:rPr>
      <w:rFonts w:asciiTheme="majorHAnsi" w:hAnsiTheme="majorHAnsi" w:eastAsiaTheme="majorEastAsia" w:cstheme="majorBidi"/>
      <w:b/>
      <w:bCs/>
      <w:color w:val="345B8A" w:themeColor="accent1" w:themeShade="B5"/>
      <w:sz w:val="32"/>
      <w:szCs w:val="32"/>
      <w:lang w:val="en-CA"/>
    </w:rPr>
  </w:style>
  <w:style w:type="character" w:customStyle="1" w:styleId="25">
    <w:name w:val="Heading 2 Char"/>
    <w:basedOn w:val="7"/>
    <w:link w:val="3"/>
    <w:semiHidden/>
    <w:uiPriority w:val="9"/>
    <w:rPr>
      <w:rFonts w:asciiTheme="majorHAnsi" w:hAnsiTheme="majorHAnsi" w:eastAsiaTheme="majorEastAsia" w:cstheme="majorBidi"/>
      <w:color w:val="376092" w:themeColor="accent1" w:themeShade="BF"/>
      <w:sz w:val="26"/>
      <w:szCs w:val="26"/>
      <w:lang w:val="en-CA"/>
    </w:rPr>
  </w:style>
  <w:style w:type="character" w:customStyle="1" w:styleId="26">
    <w:name w:val="Heading 3 Char"/>
    <w:basedOn w:val="7"/>
    <w:link w:val="4"/>
    <w:semiHidden/>
    <w:uiPriority w:val="9"/>
    <w:rPr>
      <w:rFonts w:asciiTheme="majorHAnsi" w:hAnsiTheme="majorHAnsi" w:eastAsiaTheme="majorEastAsia" w:cstheme="majorBidi"/>
      <w:b/>
      <w:bCs/>
      <w:color w:val="4F81BD" w:themeColor="accent1"/>
      <w:lang w:val="en-CA"/>
      <w14:textFill>
        <w14:solidFill>
          <w14:schemeClr w14:val="accent1"/>
        </w14:solidFill>
      </w14:textFill>
    </w:rPr>
  </w:style>
  <w:style w:type="character" w:customStyle="1" w:styleId="27">
    <w:name w:val="Heading 4 Char"/>
    <w:basedOn w:val="7"/>
    <w:link w:val="5"/>
    <w:semiHidden/>
    <w:uiPriority w:val="9"/>
    <w:rPr>
      <w:rFonts w:asciiTheme="majorHAnsi" w:hAnsiTheme="majorHAnsi" w:eastAsiaTheme="majorEastAsia" w:cstheme="majorBidi"/>
      <w:b/>
      <w:bCs/>
      <w:i/>
      <w:iCs/>
      <w:color w:val="4F81BD" w:themeColor="accent1"/>
      <w:lang w:val="en-CA"/>
      <w14:textFill>
        <w14:solidFill>
          <w14:schemeClr w14:val="accent1"/>
        </w14:solidFill>
      </w14:textFill>
    </w:rPr>
  </w:style>
  <w:style w:type="character" w:customStyle="1" w:styleId="28">
    <w:name w:val="Heading 6 Char"/>
    <w:basedOn w:val="7"/>
    <w:link w:val="6"/>
    <w:uiPriority w:val="9"/>
    <w:rPr>
      <w:rFonts w:asciiTheme="majorHAnsi" w:hAnsiTheme="majorHAnsi" w:eastAsiaTheme="majorEastAsia" w:cstheme="majorBidi"/>
      <w:color w:val="254061" w:themeColor="accent1" w:themeShade="80"/>
      <w:lang w:val="en-CA"/>
    </w:rPr>
  </w:style>
  <w:style w:type="paragraph" w:styleId="29">
    <w:name w:val="List Paragraph"/>
    <w:basedOn w:val="1"/>
    <w:qFormat/>
    <w:uiPriority w:val="34"/>
    <w:pPr>
      <w:ind w:left="720"/>
      <w:contextualSpacing/>
    </w:pPr>
  </w:style>
  <w:style w:type="character" w:customStyle="1" w:styleId="30">
    <w:name w:val="Header Char"/>
    <w:basedOn w:val="7"/>
    <w:link w:val="18"/>
    <w:uiPriority w:val="99"/>
    <w:rPr>
      <w:lang w:val="en-CA"/>
    </w:rPr>
  </w:style>
  <w:style w:type="character" w:customStyle="1" w:styleId="31">
    <w:name w:val="Footer Char"/>
    <w:basedOn w:val="7"/>
    <w:link w:val="15"/>
    <w:uiPriority w:val="99"/>
    <w:rPr>
      <w:lang w:val="en-CA"/>
    </w:rPr>
  </w:style>
  <w:style w:type="character" w:customStyle="1" w:styleId="32">
    <w:name w:val="Comment Text Char"/>
    <w:basedOn w:val="7"/>
    <w:link w:val="13"/>
    <w:semiHidden/>
    <w:uiPriority w:val="99"/>
    <w:rPr>
      <w:sz w:val="20"/>
      <w:szCs w:val="20"/>
      <w:lang w:val="en-CA"/>
    </w:rPr>
  </w:style>
  <w:style w:type="character" w:customStyle="1" w:styleId="33">
    <w:name w:val="Comment Subject Char"/>
    <w:basedOn w:val="32"/>
    <w:link w:val="14"/>
    <w:semiHidden/>
    <w:uiPriority w:val="99"/>
    <w:rPr>
      <w:b/>
      <w:bCs/>
      <w:sz w:val="20"/>
      <w:szCs w:val="20"/>
      <w:lang w:val="en-CA"/>
    </w:rPr>
  </w:style>
  <w:style w:type="character" w:customStyle="1" w:styleId="34">
    <w:name w:val="Balloon Text Char"/>
    <w:basedOn w:val="7"/>
    <w:link w:val="9"/>
    <w:semiHidden/>
    <w:uiPriority w:val="99"/>
    <w:rPr>
      <w:rFonts w:ascii="Segoe UI" w:hAnsi="Segoe UI" w:cs="Segoe UI"/>
      <w:sz w:val="18"/>
      <w:szCs w:val="18"/>
      <w:lang w:val="en-CA"/>
    </w:rPr>
  </w:style>
  <w:style w:type="paragraph" w:customStyle="1" w:styleId="35">
    <w:name w:val="Revision1"/>
    <w:hidden/>
    <w:semiHidden/>
    <w:uiPriority w:val="99"/>
    <w:rPr>
      <w:rFonts w:asciiTheme="minorHAnsi" w:hAnsiTheme="minorHAnsi" w:eastAsiaTheme="minorHAnsi" w:cstheme="minorBidi"/>
      <w:sz w:val="22"/>
      <w:szCs w:val="22"/>
      <w:lang w:val="en-CA" w:eastAsia="en-US" w:bidi="ar-SA"/>
    </w:rPr>
  </w:style>
  <w:style w:type="character" w:customStyle="1" w:styleId="36">
    <w:name w:val="Footnote Text Char"/>
    <w:basedOn w:val="7"/>
    <w:link w:val="17"/>
    <w:semiHidden/>
    <w:uiPriority w:val="99"/>
    <w:rPr>
      <w:sz w:val="20"/>
      <w:szCs w:val="20"/>
      <w:lang w:val="en-CA"/>
    </w:rPr>
  </w:style>
  <w:style w:type="character" w:customStyle="1" w:styleId="37">
    <w:name w:val="Unresolved Mention1"/>
    <w:basedOn w:val="7"/>
    <w:semiHidden/>
    <w:unhideWhenUsed/>
    <w:uiPriority w:val="99"/>
    <w:rPr>
      <w:color w:val="605E5C"/>
      <w:shd w:val="clear" w:color="auto" w:fill="E1DFDD"/>
    </w:rPr>
  </w:style>
  <w:style w:type="character" w:customStyle="1" w:styleId="38">
    <w:name w:val="Unresolved Mention2"/>
    <w:basedOn w:val="7"/>
    <w:semiHidden/>
    <w:unhideWhenUsed/>
    <w:uiPriority w:val="99"/>
    <w:rPr>
      <w:color w:val="605E5C"/>
      <w:shd w:val="clear" w:color="auto" w:fill="E1DFDD"/>
    </w:rPr>
  </w:style>
  <w:style w:type="character" w:customStyle="1" w:styleId="39">
    <w:name w:val="None"/>
    <w:uiPriority w:val="0"/>
  </w:style>
  <w:style w:type="table" w:customStyle="1" w:styleId="40">
    <w:name w:val="Table Grid1"/>
    <w:basedOn w:val="8"/>
    <w:uiPriority w:val="39"/>
    <w:rPr>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Medium Shading 2 - Accent 51"/>
    <w:basedOn w:val="8"/>
    <w:uiPriority w:val="64"/>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42">
    <w:name w:val="Table Grid7"/>
    <w:basedOn w:val="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EndNote Bibliography Title"/>
    <w:basedOn w:val="1"/>
    <w:link w:val="44"/>
    <w:qFormat/>
    <w:uiPriority w:val="0"/>
    <w:pPr>
      <w:spacing w:after="0"/>
      <w:jc w:val="center"/>
    </w:pPr>
    <w:rPr>
      <w:rFonts w:ascii="Calibri" w:hAnsi="Calibri" w:cs="Calibri"/>
      <w:lang w:val="en-US"/>
    </w:rPr>
  </w:style>
  <w:style w:type="character" w:customStyle="1" w:styleId="44">
    <w:name w:val="EndNote Bibliography Title Char"/>
    <w:basedOn w:val="7"/>
    <w:link w:val="43"/>
    <w:qFormat/>
    <w:uiPriority w:val="0"/>
    <w:rPr>
      <w:rFonts w:ascii="Calibri" w:hAnsi="Calibri" w:cs="Calibri"/>
    </w:rPr>
  </w:style>
  <w:style w:type="paragraph" w:customStyle="1" w:styleId="45">
    <w:name w:val="EndNote Bibliography"/>
    <w:basedOn w:val="1"/>
    <w:link w:val="46"/>
    <w:qFormat/>
    <w:uiPriority w:val="0"/>
    <w:pPr>
      <w:spacing w:line="240" w:lineRule="auto"/>
      <w:jc w:val="both"/>
    </w:pPr>
    <w:rPr>
      <w:rFonts w:ascii="Calibri" w:hAnsi="Calibri" w:cs="Calibri"/>
      <w:lang w:val="en-US"/>
    </w:rPr>
  </w:style>
  <w:style w:type="character" w:customStyle="1" w:styleId="46">
    <w:name w:val="EndNote Bibliography Char"/>
    <w:basedOn w:val="7"/>
    <w:link w:val="45"/>
    <w:qFormat/>
    <w:uiPriority w:val="0"/>
    <w:rPr>
      <w:rFonts w:ascii="Calibri" w:hAnsi="Calibri" w:cs="Calibri"/>
    </w:rPr>
  </w:style>
  <w:style w:type="table" w:customStyle="1" w:styleId="47">
    <w:name w:val="Table Grid2"/>
    <w:basedOn w:val="8"/>
    <w:qFormat/>
    <w:uiPriority w:val="59"/>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en-US"/>
    </w:rPr>
  </w:style>
  <w:style w:type="character" w:customStyle="1" w:styleId="49">
    <w:name w:val="Body Text Char"/>
    <w:basedOn w:val="7"/>
    <w:link w:val="10"/>
    <w:qFormat/>
    <w:uiPriority w:val="1"/>
    <w:rPr>
      <w:rFonts w:ascii="Times New Roman" w:hAnsi="Times New Roman" w:eastAsia="Times New Roman" w:cs="Times New Roman"/>
      <w:sz w:val="28"/>
      <w:szCs w:val="28"/>
    </w:rPr>
  </w:style>
  <w:style w:type="character" w:customStyle="1" w:styleId="50">
    <w:name w:val="Subtitle Char"/>
    <w:basedOn w:val="7"/>
    <w:link w:val="21"/>
    <w:qFormat/>
    <w:uiPriority w:val="11"/>
    <w:rPr>
      <w:rFonts w:eastAsia="Calibri" w:asciiTheme="majorBidi" w:hAnsiTheme="majorBidi" w:cstheme="majorBidi"/>
      <w:sz w:val="24"/>
      <w:szCs w:val="24"/>
    </w:rPr>
  </w:style>
  <w:style w:type="table" w:customStyle="1" w:styleId="51">
    <w:name w:val="Table Grid3"/>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4546</Words>
  <Characters>25914</Characters>
  <Lines>215</Lines>
  <Paragraphs>60</Paragraphs>
  <TotalTime>126</TotalTime>
  <ScaleCrop>false</ScaleCrop>
  <LinksUpToDate>false</LinksUpToDate>
  <CharactersWithSpaces>30400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2025-06-09T19:26:00Z</dcterms:created>
  <dc:creator>c.delivery for lap</dc:creator>
  <cp:lastModifiedBy>Menna</cp:lastModifiedBy>
  <dcterms:modified xsi:type="dcterms:W3CDTF">2025-07-07T23:33:04Z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C98637BD3FD843FFB5444EF24B6A48FF_12</vt:lpwstr>
  </property>
</Properties>
</file>