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B03" w:rsidRPr="002856DD" w:rsidRDefault="00597B03" w:rsidP="00597B03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2856DD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 xml:space="preserve">التاريخ29/10/2019    حتى 7/11/2019 </w:t>
      </w:r>
      <w:r w:rsidRPr="002856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المرحلة الاولى</w:t>
      </w:r>
    </w:p>
    <w:p w:rsidR="00597B03" w:rsidRPr="002856DD" w:rsidRDefault="00597B03" w:rsidP="00597B03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2856DD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المكان : المبنى الادارى قاعة المناقشات</w:t>
      </w:r>
    </w:p>
    <w:p w:rsidR="00597B03" w:rsidRPr="002856DD" w:rsidRDefault="00597B03" w:rsidP="00597B03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2856DD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الجهة المنظمة قطاع  خدمة المجتمع وتنمية البيئة  بجامعة اسيوط</w:t>
      </w:r>
    </w:p>
    <w:p w:rsidR="00597B03" w:rsidRPr="002856DD" w:rsidRDefault="00597B03" w:rsidP="00597B03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2856DD"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  <w:t>عدد الحاضرين 50 اخصائى اجتماعى ونفسى من جميع كليات جامعة اسيوط والمدينة الجامعية طلبة وطالبات ورعاية الشباب المركزية</w:t>
      </w:r>
    </w:p>
    <w:p w:rsidR="00597B03" w:rsidRPr="002856DD" w:rsidRDefault="00597B03" w:rsidP="00597B03">
      <w:pPr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2856DD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الملخص</w:t>
      </w:r>
    </w:p>
    <w:p w:rsidR="00597B03" w:rsidRPr="003F7F6A" w:rsidRDefault="00597B03" w:rsidP="00597B03">
      <w:pPr>
        <w:rPr>
          <w:rFonts w:ascii="Simplified Arabic" w:hAnsi="Simplified Arabic" w:cs="Simplified Arabic"/>
          <w:b/>
          <w:sz w:val="28"/>
          <w:szCs w:val="28"/>
          <w:rtl/>
          <w:lang w:bidi="ar-EG"/>
        </w:rPr>
      </w:pPr>
      <w:r w:rsidRPr="003F7F6A">
        <w:rPr>
          <w:rFonts w:ascii="Simplified Arabic" w:eastAsia="Times New Roman" w:hAnsi="Simplified Arabic" w:cs="Simplified Arabic"/>
          <w:b/>
          <w:sz w:val="28"/>
          <w:szCs w:val="28"/>
          <w:rtl/>
          <w:lang w:eastAsia="ar-SA"/>
        </w:rPr>
        <w:t xml:space="preserve">بدات البرنامج التدريبى الاول </w:t>
      </w:r>
      <w:r w:rsidRPr="003F7F6A">
        <w:rPr>
          <w:rFonts w:ascii="Simplified Arabic" w:eastAsia="Times New Roman" w:hAnsi="Simplified Arabic" w:cs="Simplified Arabic"/>
          <w:b/>
          <w:sz w:val="28"/>
          <w:szCs w:val="28"/>
          <w:rtl/>
          <w:lang w:bidi="ar-EG"/>
        </w:rPr>
        <w:t xml:space="preserve">بكلمة نائب رئيس الجامعة  </w:t>
      </w:r>
      <w:r w:rsidRPr="003F7F6A">
        <w:rPr>
          <w:rFonts w:ascii="Simplified Arabic" w:hAnsi="Simplified Arabic" w:cs="Simplified Arabic"/>
          <w:b/>
          <w:sz w:val="28"/>
          <w:szCs w:val="28"/>
          <w:rtl/>
          <w:lang w:bidi="ar-EG"/>
        </w:rPr>
        <w:t>لشئون خدمة المجتمع وتنمية البيئة  بجامعة اسيوط</w:t>
      </w:r>
      <w:r w:rsidRPr="003F7F6A">
        <w:rPr>
          <w:rFonts w:ascii="Simplified Arabic" w:eastAsia="Times New Roman" w:hAnsi="Simplified Arabic" w:cs="Simplified Arabic"/>
          <w:b/>
          <w:sz w:val="28"/>
          <w:szCs w:val="28"/>
          <w:rtl/>
          <w:lang w:bidi="ar-EG"/>
        </w:rPr>
        <w:t xml:space="preserve">  والحديث عن استراتيجية الوزارة في مواجهة الإرهاب، ورؤية جامعة أسيوط في مواجهة كافة أنماط الأفكار غير السوية داخل جامعة اسيوط</w:t>
      </w:r>
      <w:r w:rsidRPr="003F7F6A">
        <w:rPr>
          <w:rFonts w:ascii="Simplified Arabic" w:hAnsi="Simplified Arabic" w:cs="Simplified Arabic"/>
          <w:b/>
          <w:sz w:val="28"/>
          <w:szCs w:val="28"/>
          <w:rtl/>
          <w:lang w:bidi="ar-EG"/>
        </w:rPr>
        <w:t xml:space="preserve"> حيث تم تنفيذ البرنامج للمرحلة الاولى على مدار 6 ايام و تضمن البرنامج المحاور الاتية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EG"/>
        </w:rPr>
        <w:t xml:space="preserve"> :-</w:t>
      </w:r>
    </w:p>
    <w:p w:rsidR="00597B03" w:rsidRDefault="00597B03" w:rsidP="00597B03">
      <w:pPr>
        <w:tabs>
          <w:tab w:val="left" w:pos="2410"/>
        </w:tabs>
        <w:overflowPunct w:val="0"/>
        <w:autoSpaceDE w:val="0"/>
        <w:autoSpaceDN w:val="0"/>
        <w:adjustRightInd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EG"/>
        </w:rPr>
      </w:pPr>
      <w:r w:rsidRPr="003F7F6A">
        <w:rPr>
          <w:rFonts w:ascii="Simplified Arabic" w:hAnsi="Simplified Arabic" w:cs="Simplified Arabic"/>
          <w:bCs/>
          <w:sz w:val="28"/>
          <w:szCs w:val="28"/>
          <w:rtl/>
          <w:lang w:bidi="ar-EG"/>
        </w:rPr>
        <w:t>العقلية التكفيرية و(سيكولوجيا الفكر التكفيري</w:t>
      </w:r>
      <w:r w:rsidRPr="003F7F6A">
        <w:rPr>
          <w:rFonts w:ascii="Simplified Arabic" w:hAnsi="Simplified Arabic" w:cs="Simplified Arabic" w:hint="cs"/>
          <w:bCs/>
          <w:sz w:val="28"/>
          <w:szCs w:val="28"/>
          <w:rtl/>
          <w:lang w:bidi="ar-EG"/>
        </w:rPr>
        <w:t>)</w:t>
      </w:r>
      <w:r w:rsidRPr="003F7F6A">
        <w:rPr>
          <w:rFonts w:ascii="Simplified Arabic" w:hAnsi="Simplified Arabic" w:cs="Simplified Arabic" w:hint="cs"/>
          <w:b/>
          <w:sz w:val="28"/>
          <w:szCs w:val="28"/>
          <w:rtl/>
          <w:lang w:bidi="ar-EG"/>
        </w:rPr>
        <w:t xml:space="preserve"> </w:t>
      </w:r>
      <w:r w:rsidRPr="003F7F6A">
        <w:rPr>
          <w:rFonts w:ascii="Simplified Arabic" w:eastAsia="Times New Roman" w:hAnsi="Simplified Arabic" w:cs="Simplified Arabic"/>
          <w:b/>
          <w:sz w:val="28"/>
          <w:szCs w:val="28"/>
          <w:rtl/>
          <w:lang w:bidi="ar-EG"/>
        </w:rPr>
        <w:t xml:space="preserve">وذلك من خلال معرفة دوافع الارهاب كيف يفكر الارهابي تزويد المشاركين بمفهوم التطرف والإرهاب، </w:t>
      </w:r>
      <w:r w:rsidRPr="003F7F6A">
        <w:rPr>
          <w:rFonts w:ascii="Simplified Arabic" w:eastAsia="Times New Roman" w:hAnsi="Simplified Arabic" w:cs="Simplified Arabic"/>
          <w:b/>
          <w:sz w:val="28"/>
          <w:szCs w:val="28"/>
          <w:rtl/>
          <w:lang w:bidi="ar-EG"/>
        </w:rPr>
        <w:t>والتكفير، ومظاهر التطرف في الجامعة، وأسباب ودوافع التطرف والعوامل المرتبطة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EG"/>
        </w:rPr>
        <w:t xml:space="preserve"> - </w:t>
      </w:r>
      <w:r w:rsidRPr="003F7F6A">
        <w:rPr>
          <w:rFonts w:ascii="Simplified Arabic" w:eastAsia="Times New Roman" w:hAnsi="Simplified Arabic" w:cs="Simplified Arabic"/>
          <w:bCs/>
          <w:sz w:val="28"/>
          <w:szCs w:val="28"/>
          <w:rtl/>
          <w:lang w:bidi="ar-EG"/>
        </w:rPr>
        <w:t>انماط السلوك التكفيري</w:t>
      </w:r>
      <w:r w:rsidRPr="003F7F6A">
        <w:rPr>
          <w:rFonts w:ascii="Simplified Arabic" w:eastAsia="Times New Roman" w:hAnsi="Simplified Arabic" w:cs="Simplified Arabic"/>
          <w:b/>
          <w:sz w:val="28"/>
          <w:szCs w:val="28"/>
          <w:rtl/>
          <w:lang w:bidi="ar-EG"/>
        </w:rPr>
        <w:t xml:space="preserve"> تزويد المشاركين بمواطن التطرف والاعتدال في السلوك البشري، الاتجاهات الفكرية للمتطرف، والفروق بين التطرف والاعتدال</w:t>
      </w:r>
      <w:r>
        <w:rPr>
          <w:rFonts w:ascii="Simplified Arabic" w:eastAsia="Times New Roman" w:hAnsi="Simplified Arabic" w:cs="Simplified Arabic" w:hint="cs"/>
          <w:b/>
          <w:sz w:val="28"/>
          <w:szCs w:val="28"/>
          <w:rtl/>
          <w:lang w:bidi="ar-EG"/>
        </w:rPr>
        <w:t xml:space="preserve">- </w:t>
      </w:r>
      <w:r w:rsidRPr="003F7F6A">
        <w:rPr>
          <w:rFonts w:ascii="Simplified Arabic" w:eastAsia="Times New Roman" w:hAnsi="Simplified Arabic" w:cs="Simplified Arabic"/>
          <w:bCs/>
          <w:sz w:val="28"/>
          <w:szCs w:val="28"/>
          <w:rtl/>
          <w:lang w:bidi="ar-EG"/>
        </w:rPr>
        <w:t>البناء العقلي والنفسي للمتطرف</w:t>
      </w:r>
      <w:r w:rsidRPr="003F7F6A">
        <w:rPr>
          <w:rFonts w:ascii="Simplified Arabic" w:eastAsia="Times New Roman" w:hAnsi="Simplified Arabic" w:cs="Simplified Arabic" w:hint="cs"/>
          <w:bCs/>
          <w:sz w:val="28"/>
          <w:szCs w:val="28"/>
          <w:rtl/>
          <w:lang w:bidi="ar-EG"/>
        </w:rPr>
        <w:t xml:space="preserve"> </w:t>
      </w:r>
      <w:r w:rsidRPr="003F7F6A">
        <w:rPr>
          <w:rFonts w:ascii="Simplified Arabic" w:eastAsia="Times New Roman" w:hAnsi="Simplified Arabic" w:cs="Simplified Arabic"/>
          <w:bCs/>
          <w:sz w:val="28"/>
          <w:szCs w:val="28"/>
          <w:rtl/>
          <w:lang w:bidi="ar-EG"/>
        </w:rPr>
        <w:t>(</w:t>
      </w:r>
      <w:r w:rsidRPr="003F7F6A">
        <w:rPr>
          <w:rFonts w:ascii="Simplified Arabic" w:eastAsia="Times New Roman" w:hAnsi="Simplified Arabic" w:cs="Simplified Arabic"/>
          <w:b/>
          <w:sz w:val="28"/>
          <w:szCs w:val="28"/>
          <w:rtl/>
          <w:lang w:bidi="ar-EG"/>
        </w:rPr>
        <w:t>طلاب الجامعة نموذجاً) تزويد المشاركين بسيكولوجيا الطالب المتطرف فكرياً، مظاهر الانحراف الفكري والسلوكي داخل الجامعات، الأنماط  الشخصية للطالب المتطرف</w:t>
      </w:r>
      <w:r>
        <w:rPr>
          <w:rFonts w:ascii="Simplified Arabic" w:eastAsia="Times New Roman" w:hAnsi="Simplified Arabic" w:cs="Simplified Arabic" w:hint="cs"/>
          <w:b/>
          <w:sz w:val="28"/>
          <w:szCs w:val="28"/>
          <w:rtl/>
          <w:lang w:bidi="ar-EG"/>
        </w:rPr>
        <w:t xml:space="preserve"> - </w:t>
      </w:r>
      <w:r w:rsidRPr="003F7F6A">
        <w:rPr>
          <w:rFonts w:ascii="Simplified Arabic" w:eastAsia="Times New Roman" w:hAnsi="Simplified Arabic" w:cs="Simplified Arabic"/>
          <w:b/>
          <w:sz w:val="28"/>
          <w:szCs w:val="28"/>
          <w:rtl/>
          <w:lang w:bidi="ar-EG"/>
        </w:rPr>
        <w:t xml:space="preserve"> </w:t>
      </w:r>
      <w:r w:rsidRPr="003F7F6A">
        <w:rPr>
          <w:rFonts w:ascii="Simplified Arabic" w:eastAsia="Times New Roman" w:hAnsi="Simplified Arabic" w:cs="Simplified Arabic"/>
          <w:bCs/>
          <w:sz w:val="28"/>
          <w:szCs w:val="28"/>
          <w:rtl/>
          <w:lang w:bidi="ar-EG"/>
        </w:rPr>
        <w:t>كيفية التأثير على عقلية الطالب</w:t>
      </w:r>
      <w:r w:rsidRPr="003F7F6A">
        <w:rPr>
          <w:rFonts w:ascii="Simplified Arabic" w:eastAsia="Times New Roman" w:hAnsi="Simplified Arabic" w:cs="Simplified Arabic"/>
          <w:b/>
          <w:sz w:val="28"/>
          <w:szCs w:val="28"/>
          <w:rtl/>
          <w:lang w:bidi="ar-EG"/>
        </w:rPr>
        <w:t xml:space="preserve"> تزويد المشاركين بمصادر الانحراف الفكري وعلاقتها بالشخصية، وكيفية تجنيد والتأثير على الطلاب للوقوع في براثن التطرف والارهاب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EG"/>
        </w:rPr>
        <w:t xml:space="preserve"> -</w:t>
      </w:r>
      <w:r>
        <w:rPr>
          <w:rFonts w:ascii="Simplified Arabic" w:eastAsia="Times New Roman" w:hAnsi="Simplified Arabic" w:cs="Simplified Arabic" w:hint="cs"/>
          <w:bCs/>
          <w:sz w:val="28"/>
          <w:szCs w:val="28"/>
          <w:rtl/>
          <w:lang w:bidi="ar-EG"/>
        </w:rPr>
        <w:t xml:space="preserve"> </w:t>
      </w:r>
      <w:r w:rsidRPr="003F7F6A">
        <w:rPr>
          <w:rFonts w:ascii="Simplified Arabic" w:eastAsia="Times New Roman" w:hAnsi="Simplified Arabic" w:cs="Simplified Arabic"/>
          <w:bCs/>
          <w:sz w:val="28"/>
          <w:szCs w:val="28"/>
          <w:rtl/>
          <w:lang w:bidi="ar-EG"/>
        </w:rPr>
        <w:t>مهارات رصد السلوكيات التكفيرية</w:t>
      </w:r>
      <w:r w:rsidRPr="003F7F6A">
        <w:rPr>
          <w:rFonts w:ascii="Simplified Arabic" w:eastAsia="Times New Roman" w:hAnsi="Simplified Arabic" w:cs="Simplified Arabic"/>
          <w:b/>
          <w:sz w:val="28"/>
          <w:szCs w:val="28"/>
          <w:rtl/>
          <w:lang w:bidi="ar-EG"/>
        </w:rPr>
        <w:t xml:space="preserve"> تزويد المشاركين بمفهوم الرصد والاكتشاف والمفاهيم المرتبطة به، الخصائص العامة للقائمين بالرصد، وأساليب الرصد، المبادئ الرئيسية للرصد، كيفية صناعة مؤشر الرصد، وأساليب التخطيط لعملية الرصد</w:t>
      </w:r>
      <w:r>
        <w:rPr>
          <w:rFonts w:ascii="Simplified Arabic" w:eastAsia="Times New Roman" w:hAnsi="Simplified Arabic" w:cs="Simplified Arabic" w:hint="cs"/>
          <w:bCs/>
          <w:sz w:val="28"/>
          <w:szCs w:val="28"/>
          <w:rtl/>
          <w:lang w:bidi="ar-EG"/>
        </w:rPr>
        <w:t xml:space="preserve"> - </w:t>
      </w:r>
      <w:r w:rsidRPr="003F7F6A">
        <w:rPr>
          <w:rFonts w:ascii="Simplified Arabic" w:eastAsia="Times New Roman" w:hAnsi="Simplified Arabic" w:cs="Simplified Arabic"/>
          <w:bCs/>
          <w:sz w:val="28"/>
          <w:szCs w:val="28"/>
          <w:rtl/>
          <w:lang w:bidi="ar-EG"/>
        </w:rPr>
        <w:t>مهارات تسجيل السلوكيات التكفيرية</w:t>
      </w:r>
      <w:r w:rsidRPr="003F7F6A">
        <w:rPr>
          <w:rFonts w:ascii="Simplified Arabic" w:hAnsi="Simplified Arabic" w:cs="Simplified Arabic"/>
          <w:b/>
          <w:sz w:val="28"/>
          <w:szCs w:val="28"/>
          <w:rtl/>
          <w:lang w:bidi="ar-EG"/>
        </w:rPr>
        <w:t xml:space="preserve"> </w:t>
      </w:r>
      <w:r w:rsidRPr="003F7F6A">
        <w:rPr>
          <w:rFonts w:ascii="Simplified Arabic" w:eastAsia="Times New Roman" w:hAnsi="Simplified Arabic" w:cs="Simplified Arabic"/>
          <w:b/>
          <w:sz w:val="28"/>
          <w:szCs w:val="28"/>
          <w:rtl/>
          <w:lang w:bidi="ar-EG"/>
        </w:rPr>
        <w:t>تزويد المشاركين بمفهوم التسجيل، الخصائص العامة للقائمين بالتسجيل، وأساليب التسجيل، المبادئ الرئيسية للتسجيل، وفنون الحصول على المعلومات من الطالب</w:t>
      </w:r>
      <w:r>
        <w:rPr>
          <w:rFonts w:ascii="Simplified Arabic" w:hAnsi="Simplified Arabic" w:cs="Simplified Arabic" w:hint="cs"/>
          <w:b/>
          <w:sz w:val="28"/>
          <w:szCs w:val="28"/>
          <w:rtl/>
          <w:lang w:bidi="ar-EG"/>
        </w:rPr>
        <w:t xml:space="preserve"> -</w:t>
      </w:r>
      <w:r>
        <w:rPr>
          <w:rFonts w:ascii="Simplified Arabic" w:eastAsia="Times New Roman" w:hAnsi="Simplified Arabic" w:cs="Simplified Arabic" w:hint="cs"/>
          <w:bCs/>
          <w:sz w:val="28"/>
          <w:szCs w:val="28"/>
          <w:rtl/>
          <w:lang w:bidi="ar-EG"/>
        </w:rPr>
        <w:t xml:space="preserve"> </w:t>
      </w:r>
      <w:r w:rsidRPr="003F7F6A">
        <w:rPr>
          <w:rFonts w:ascii="Simplified Arabic" w:eastAsia="Times New Roman" w:hAnsi="Simplified Arabic" w:cs="Simplified Arabic"/>
          <w:bCs/>
          <w:sz w:val="28"/>
          <w:szCs w:val="28"/>
          <w:rtl/>
          <w:lang w:bidi="ar-EG"/>
        </w:rPr>
        <w:t xml:space="preserve">أسس كشف </w:t>
      </w:r>
      <w:r w:rsidRPr="003F7F6A">
        <w:rPr>
          <w:rFonts w:ascii="Simplified Arabic" w:eastAsia="Times New Roman" w:hAnsi="Simplified Arabic" w:cs="Simplified Arabic"/>
          <w:bCs/>
          <w:sz w:val="28"/>
          <w:szCs w:val="28"/>
          <w:rtl/>
          <w:lang w:bidi="ar-EG"/>
        </w:rPr>
        <w:lastRenderedPageBreak/>
        <w:t>وتحليل الاتجاهات التطرفية</w:t>
      </w:r>
      <w:r w:rsidRPr="003F7F6A">
        <w:rPr>
          <w:rFonts w:ascii="Simplified Arabic" w:eastAsia="Times New Roman" w:hAnsi="Simplified Arabic" w:cs="Simplified Arabic"/>
          <w:b/>
          <w:sz w:val="28"/>
          <w:szCs w:val="28"/>
          <w:rtl/>
          <w:lang w:bidi="ar-EG"/>
        </w:rPr>
        <w:t xml:space="preserve"> تزويد المشاركين أسس الاتجاهات التطرفية لدي الطلاب، وكيفية اكتشافها، واساليبها، ومبادئ تحليل الاتجاهات</w:t>
      </w:r>
      <w:r>
        <w:rPr>
          <w:rFonts w:ascii="Simplified Arabic" w:eastAsia="Times New Roman" w:hAnsi="Simplified Arabic" w:cs="Simplified Arabic" w:hint="cs"/>
          <w:bCs/>
          <w:sz w:val="28"/>
          <w:szCs w:val="28"/>
          <w:rtl/>
          <w:lang w:bidi="ar-EG"/>
        </w:rPr>
        <w:t xml:space="preserve"> - </w:t>
      </w:r>
      <w:r w:rsidRPr="003F7F6A">
        <w:rPr>
          <w:rFonts w:ascii="Simplified Arabic" w:eastAsia="Times New Roman" w:hAnsi="Simplified Arabic" w:cs="Simplified Arabic"/>
          <w:bCs/>
          <w:sz w:val="28"/>
          <w:szCs w:val="28"/>
          <w:rtl/>
          <w:lang w:bidi="ar-EG"/>
        </w:rPr>
        <w:t>مهارات المتابعة وكتابة التقارير</w:t>
      </w:r>
      <w:r w:rsidRPr="003F7F6A">
        <w:rPr>
          <w:rFonts w:ascii="Simplified Arabic" w:eastAsia="Times New Roman" w:hAnsi="Simplified Arabic" w:cs="Simplified Arabic"/>
          <w:b/>
          <w:sz w:val="28"/>
          <w:szCs w:val="28"/>
          <w:rtl/>
          <w:lang w:bidi="ar-EG"/>
        </w:rPr>
        <w:t xml:space="preserve"> تزويد المشاركين بمفهوم المتابعة، واليات المتابعة، وأنظمة المتابع، وكيفية كتابة تقارير المتابعة</w:t>
      </w:r>
      <w:r>
        <w:rPr>
          <w:rFonts w:ascii="Simplified Arabic" w:eastAsia="Times New Roman" w:hAnsi="Simplified Arabic" w:cs="Simplified Arabic" w:hint="cs"/>
          <w:bCs/>
          <w:sz w:val="28"/>
          <w:szCs w:val="28"/>
          <w:rtl/>
          <w:lang w:bidi="ar-EG"/>
        </w:rPr>
        <w:t xml:space="preserve"> - </w:t>
      </w:r>
      <w:r w:rsidRPr="003F7F6A">
        <w:rPr>
          <w:rFonts w:ascii="Simplified Arabic" w:eastAsia="Times New Roman" w:hAnsi="Simplified Arabic" w:cs="Simplified Arabic"/>
          <w:bCs/>
          <w:sz w:val="28"/>
          <w:szCs w:val="28"/>
          <w:rtl/>
          <w:lang w:bidi="ar-EG"/>
        </w:rPr>
        <w:t>العلاج المعرفي السلوكي</w:t>
      </w:r>
      <w:r w:rsidRPr="003F7F6A">
        <w:rPr>
          <w:rFonts w:ascii="Simplified Arabic" w:eastAsia="Times New Roman" w:hAnsi="Simplified Arabic" w:cs="Simplified Arabic"/>
          <w:b/>
          <w:sz w:val="28"/>
          <w:szCs w:val="28"/>
          <w:rtl/>
          <w:lang w:bidi="ar-EG"/>
        </w:rPr>
        <w:t xml:space="preserve"> والعمل مع المتطرفين تزويد المشاركين بمفهوم العلاج المعرفي السلوكي، والياته وكيفية استخدامها مع الطلاب المتطرفين فكريا من خلال الفنيات المعرفية والسلوكية</w:t>
      </w:r>
      <w:r>
        <w:rPr>
          <w:rFonts w:ascii="Simplified Arabic" w:eastAsia="Times New Roman" w:hAnsi="Simplified Arabic" w:cs="Simplified Arabic" w:hint="cs"/>
          <w:bCs/>
          <w:sz w:val="28"/>
          <w:szCs w:val="28"/>
          <w:rtl/>
          <w:lang w:bidi="ar-EG"/>
        </w:rPr>
        <w:t xml:space="preserve"> - </w:t>
      </w:r>
      <w:r w:rsidRPr="003F7F6A">
        <w:rPr>
          <w:rFonts w:ascii="Simplified Arabic" w:eastAsia="Times New Roman" w:hAnsi="Simplified Arabic" w:cs="Simplified Arabic"/>
          <w:bCs/>
          <w:sz w:val="28"/>
          <w:szCs w:val="28"/>
          <w:rtl/>
          <w:lang w:bidi="ar-EG"/>
        </w:rPr>
        <w:t>مهارات ارشاد وتوجيه الطلاب بالجامعات</w:t>
      </w:r>
      <w:r w:rsidRPr="003F7F6A">
        <w:rPr>
          <w:rFonts w:ascii="Simplified Arabic" w:hAnsi="Simplified Arabic" w:cs="Simplified Arabic"/>
          <w:b/>
          <w:sz w:val="28"/>
          <w:szCs w:val="28"/>
          <w:rtl/>
          <w:lang w:bidi="ar-EG"/>
        </w:rPr>
        <w:t xml:space="preserve"> </w:t>
      </w:r>
      <w:r w:rsidRPr="003F7F6A">
        <w:rPr>
          <w:rFonts w:ascii="Simplified Arabic" w:eastAsia="Times New Roman" w:hAnsi="Simplified Arabic" w:cs="Simplified Arabic"/>
          <w:b/>
          <w:sz w:val="28"/>
          <w:szCs w:val="28"/>
          <w:rtl/>
          <w:lang w:bidi="ar-EG"/>
        </w:rPr>
        <w:t>تزويد المشاركين بمفاهيم الارشاد والتوجيه وقواعد ومهارات الارشاد والتوجيه في العمل مع الطلاب المتطرفين فكريا داخل الجامعات</w:t>
      </w:r>
      <w:r>
        <w:rPr>
          <w:rFonts w:ascii="Simplified Arabic" w:eastAsia="Times New Roman" w:hAnsi="Simplified Arabic" w:cs="Simplified Arabic" w:hint="cs"/>
          <w:bCs/>
          <w:sz w:val="28"/>
          <w:szCs w:val="28"/>
          <w:rtl/>
          <w:lang w:bidi="ar-EG"/>
        </w:rPr>
        <w:t xml:space="preserve"> - </w:t>
      </w:r>
      <w:r w:rsidRPr="003F7F6A">
        <w:rPr>
          <w:rFonts w:ascii="Simplified Arabic" w:eastAsia="Times New Roman" w:hAnsi="Simplified Arabic" w:cs="Simplified Arabic"/>
          <w:bCs/>
          <w:sz w:val="28"/>
          <w:szCs w:val="28"/>
          <w:rtl/>
          <w:lang w:bidi="ar-EG"/>
        </w:rPr>
        <w:t>مهارات الوقاية من الفكر التكفيري</w:t>
      </w:r>
      <w:r w:rsidRPr="003F7F6A">
        <w:rPr>
          <w:rFonts w:ascii="Simplified Arabic" w:eastAsia="Times New Roman" w:hAnsi="Simplified Arabic" w:cs="Simplified Arabic"/>
          <w:b/>
          <w:sz w:val="28"/>
          <w:szCs w:val="28"/>
          <w:rtl/>
          <w:lang w:bidi="ar-EG"/>
        </w:rPr>
        <w:t xml:space="preserve"> بالجامعات</w:t>
      </w:r>
      <w:r w:rsidRPr="003F7F6A">
        <w:rPr>
          <w:rFonts w:ascii="Simplified Arabic" w:hAnsi="Simplified Arabic" w:cs="Simplified Arabic"/>
          <w:b/>
          <w:sz w:val="28"/>
          <w:szCs w:val="28"/>
          <w:rtl/>
          <w:lang w:bidi="ar-EG"/>
        </w:rPr>
        <w:t xml:space="preserve"> </w:t>
      </w:r>
      <w:r w:rsidRPr="003F7F6A">
        <w:rPr>
          <w:rFonts w:ascii="Simplified Arabic" w:eastAsia="Times New Roman" w:hAnsi="Simplified Arabic" w:cs="Simplified Arabic"/>
          <w:b/>
          <w:sz w:val="28"/>
          <w:szCs w:val="28"/>
          <w:rtl/>
          <w:lang w:bidi="ar-EG"/>
        </w:rPr>
        <w:t>تزويد المشاركين بأنماط الشخصية وأساليب الوقاية والتوجيه، وأساليب المعاملة الوالدية مع الطلاب المعرضين لخطر الفكر التكفيري والتطرفي داخل الجامعات</w:t>
      </w:r>
      <w:r>
        <w:rPr>
          <w:rFonts w:ascii="Simplified Arabic" w:eastAsia="Times New Roman" w:hAnsi="Simplified Arabic" w:cs="Simplified Arabic" w:hint="cs"/>
          <w:bCs/>
          <w:sz w:val="28"/>
          <w:szCs w:val="28"/>
          <w:rtl/>
          <w:lang w:bidi="ar-EG"/>
        </w:rPr>
        <w:t xml:space="preserve">- </w:t>
      </w:r>
      <w:r w:rsidRPr="003F7F6A">
        <w:rPr>
          <w:rFonts w:ascii="Simplified Arabic" w:eastAsia="Times New Roman" w:hAnsi="Simplified Arabic" w:cs="Simplified Arabic"/>
          <w:bCs/>
          <w:sz w:val="28"/>
          <w:szCs w:val="28"/>
          <w:rtl/>
          <w:lang w:bidi="ar-EG"/>
        </w:rPr>
        <w:t>اسرة المتطرف</w:t>
      </w:r>
      <w:r w:rsidRPr="003F7F6A">
        <w:rPr>
          <w:rFonts w:ascii="Simplified Arabic" w:eastAsia="Times New Roman" w:hAnsi="Simplified Arabic" w:cs="Simplified Arabic"/>
          <w:b/>
          <w:sz w:val="28"/>
          <w:szCs w:val="28"/>
          <w:rtl/>
          <w:lang w:bidi="ar-EG"/>
        </w:rPr>
        <w:t xml:space="preserve"> كيف تعمل</w:t>
      </w:r>
      <w:r w:rsidRPr="003F7F6A">
        <w:rPr>
          <w:rFonts w:ascii="Simplified Arabic" w:hAnsi="Simplified Arabic" w:cs="Simplified Arabic"/>
          <w:b/>
          <w:sz w:val="28"/>
          <w:szCs w:val="28"/>
          <w:rtl/>
          <w:lang w:bidi="ar-EG"/>
        </w:rPr>
        <w:t xml:space="preserve"> </w:t>
      </w:r>
      <w:r w:rsidRPr="003F7F6A">
        <w:rPr>
          <w:rFonts w:ascii="Simplified Arabic" w:eastAsia="Times New Roman" w:hAnsi="Simplified Arabic" w:cs="Simplified Arabic"/>
          <w:b/>
          <w:sz w:val="28"/>
          <w:szCs w:val="28"/>
          <w:rtl/>
          <w:lang w:bidi="ar-EG"/>
        </w:rPr>
        <w:t>تزويد المشاركين بمفهوم الاسرة والبناء الاسري والعوامل المؤدية الى التطرف داخل الاسرة، والتنشئة الاسرية وعلاقتها بالتطرف</w:t>
      </w:r>
      <w:r>
        <w:rPr>
          <w:rFonts w:ascii="Simplified Arabic" w:eastAsia="Times New Roman" w:hAnsi="Simplified Arabic" w:cs="Simplified Arabic" w:hint="cs"/>
          <w:bCs/>
          <w:sz w:val="28"/>
          <w:szCs w:val="28"/>
          <w:rtl/>
          <w:lang w:bidi="ar-EG"/>
        </w:rPr>
        <w:t xml:space="preserve">- </w:t>
      </w:r>
      <w:r w:rsidRPr="003F7F6A">
        <w:rPr>
          <w:rFonts w:ascii="Simplified Arabic" w:eastAsia="Times New Roman" w:hAnsi="Simplified Arabic" w:cs="Simplified Arabic"/>
          <w:bCs/>
          <w:sz w:val="28"/>
          <w:szCs w:val="28"/>
          <w:rtl/>
          <w:lang w:bidi="ar-EG"/>
        </w:rPr>
        <w:t>ثقافة الاقران والميل للتطرف</w:t>
      </w:r>
      <w:r w:rsidRPr="003F7F6A">
        <w:rPr>
          <w:rFonts w:ascii="Simplified Arabic" w:hAnsi="Simplified Arabic" w:cs="Simplified Arabic"/>
          <w:b/>
          <w:sz w:val="28"/>
          <w:szCs w:val="28"/>
          <w:rtl/>
          <w:lang w:bidi="ar-EG"/>
        </w:rPr>
        <w:t xml:space="preserve"> </w:t>
      </w:r>
      <w:r w:rsidRPr="003F7F6A">
        <w:rPr>
          <w:rFonts w:ascii="Simplified Arabic" w:eastAsia="Times New Roman" w:hAnsi="Simplified Arabic" w:cs="Simplified Arabic"/>
          <w:b/>
          <w:sz w:val="28"/>
          <w:szCs w:val="28"/>
          <w:rtl/>
          <w:lang w:bidi="ar-EG"/>
        </w:rPr>
        <w:t xml:space="preserve">تزويد المشاركين بمفهوم القرين، والميول التطرفية الراجعة </w:t>
      </w:r>
      <w:r w:rsidRPr="003F7F6A">
        <w:rPr>
          <w:rFonts w:ascii="Simplified Arabic" w:eastAsia="Times New Roman" w:hAnsi="Simplified Arabic" w:cs="Simplified Arabic"/>
          <w:b/>
          <w:sz w:val="28"/>
          <w:szCs w:val="28"/>
          <w:rtl/>
          <w:lang w:bidi="ar-EG"/>
        </w:rPr>
        <w:t>للأصدقاء، وكيفية تأثير الاقران في عقلية المتطرف، وفنون التعامل معها</w:t>
      </w:r>
      <w:r>
        <w:rPr>
          <w:rFonts w:ascii="Simplified Arabic" w:eastAsia="Times New Roman" w:hAnsi="Simplified Arabic" w:cs="Simplified Arabic" w:hint="cs"/>
          <w:bCs/>
          <w:sz w:val="28"/>
          <w:szCs w:val="28"/>
          <w:rtl/>
          <w:lang w:bidi="ar-EG"/>
        </w:rPr>
        <w:t xml:space="preserve">- </w:t>
      </w:r>
      <w:r w:rsidRPr="003F7F6A">
        <w:rPr>
          <w:rFonts w:ascii="Simplified Arabic" w:eastAsia="Times New Roman" w:hAnsi="Simplified Arabic" w:cs="Simplified Arabic"/>
          <w:bCs/>
          <w:sz w:val="28"/>
          <w:szCs w:val="28"/>
          <w:rtl/>
          <w:lang w:bidi="ar-EG"/>
        </w:rPr>
        <w:t>العلاج العقلاني الانفعالي والعمل مع المتطرفين</w:t>
      </w:r>
      <w:r w:rsidRPr="003F7F6A">
        <w:rPr>
          <w:rFonts w:ascii="Simplified Arabic" w:eastAsia="Times New Roman" w:hAnsi="Simplified Arabic" w:cs="Simplified Arabic"/>
          <w:b/>
          <w:sz w:val="28"/>
          <w:szCs w:val="28"/>
          <w:rtl/>
          <w:lang w:bidi="ar-EG"/>
        </w:rPr>
        <w:t xml:space="preserve"> تزويد المشاركين بمفهوم العلاج العقلاني الانفعالي واساليبه وفنياته العلاجية المختلفة وخطواته في التعامل مع المتطرف</w:t>
      </w:r>
      <w:r>
        <w:rPr>
          <w:rFonts w:ascii="Simplified Arabic" w:eastAsia="Times New Roman" w:hAnsi="Simplified Arabic" w:cs="Simplified Arabic" w:hint="cs"/>
          <w:bCs/>
          <w:sz w:val="28"/>
          <w:szCs w:val="28"/>
          <w:rtl/>
          <w:lang w:bidi="ar-EG"/>
        </w:rPr>
        <w:t xml:space="preserve"> - </w:t>
      </w:r>
      <w:r w:rsidRPr="003F7F6A">
        <w:rPr>
          <w:rFonts w:ascii="Simplified Arabic" w:eastAsia="Times New Roman" w:hAnsi="Simplified Arabic" w:cs="Simplified Arabic"/>
          <w:bCs/>
          <w:sz w:val="28"/>
          <w:szCs w:val="28"/>
          <w:rtl/>
          <w:lang w:bidi="ar-EG"/>
        </w:rPr>
        <w:t>العلاج الاسري</w:t>
      </w:r>
      <w:r w:rsidRPr="003F7F6A">
        <w:rPr>
          <w:rFonts w:ascii="Simplified Arabic" w:eastAsia="Times New Roman" w:hAnsi="Simplified Arabic" w:cs="Simplified Arabic"/>
          <w:b/>
          <w:sz w:val="28"/>
          <w:szCs w:val="28"/>
          <w:rtl/>
          <w:lang w:bidi="ar-EG"/>
        </w:rPr>
        <w:t xml:space="preserve"> والعمل مع تزويد المشاركين بمفهوم العلاج الأسري واساليبه وفنياته العلاجية المختلفة وخطواته في التعامل مع المتطرف، والمعايير الأساسية لاستخدام العلاج الاسري في العمل مع المتطرف</w:t>
      </w:r>
    </w:p>
    <w:p w:rsidR="00597B03" w:rsidRDefault="00597B03" w:rsidP="00597B03">
      <w:pPr>
        <w:tabs>
          <w:tab w:val="left" w:pos="2410"/>
        </w:tabs>
        <w:overflowPunct w:val="0"/>
        <w:autoSpaceDE w:val="0"/>
        <w:autoSpaceDN w:val="0"/>
        <w:adjustRightInd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EG"/>
        </w:rPr>
      </w:pPr>
    </w:p>
    <w:p w:rsidR="00597B03" w:rsidRDefault="00597B03" w:rsidP="00597B03">
      <w:pPr>
        <w:tabs>
          <w:tab w:val="left" w:pos="2410"/>
        </w:tabs>
        <w:overflowPunct w:val="0"/>
        <w:autoSpaceDE w:val="0"/>
        <w:autoSpaceDN w:val="0"/>
        <w:adjustRightInd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EG"/>
        </w:rPr>
      </w:pPr>
    </w:p>
    <w:p w:rsidR="00597B03" w:rsidRDefault="00597B03" w:rsidP="00597B03">
      <w:pPr>
        <w:tabs>
          <w:tab w:val="left" w:pos="2410"/>
        </w:tabs>
        <w:overflowPunct w:val="0"/>
        <w:autoSpaceDE w:val="0"/>
        <w:autoSpaceDN w:val="0"/>
        <w:adjustRightInd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EG"/>
        </w:rPr>
      </w:pPr>
    </w:p>
    <w:p w:rsidR="00597B03" w:rsidRDefault="00597B03" w:rsidP="00597B03">
      <w:pPr>
        <w:tabs>
          <w:tab w:val="left" w:pos="2410"/>
        </w:tabs>
        <w:overflowPunct w:val="0"/>
        <w:autoSpaceDE w:val="0"/>
        <w:autoSpaceDN w:val="0"/>
        <w:adjustRightInd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EG"/>
        </w:rPr>
      </w:pPr>
    </w:p>
    <w:p w:rsidR="00597B03" w:rsidRDefault="00597B03" w:rsidP="00597B03">
      <w:pPr>
        <w:tabs>
          <w:tab w:val="left" w:pos="2410"/>
        </w:tabs>
        <w:overflowPunct w:val="0"/>
        <w:autoSpaceDE w:val="0"/>
        <w:autoSpaceDN w:val="0"/>
        <w:adjustRightInd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EG"/>
        </w:rPr>
      </w:pPr>
    </w:p>
    <w:p w:rsidR="00597B03" w:rsidRDefault="00597B03" w:rsidP="00597B03">
      <w:pPr>
        <w:tabs>
          <w:tab w:val="left" w:pos="2410"/>
        </w:tabs>
        <w:overflowPunct w:val="0"/>
        <w:autoSpaceDE w:val="0"/>
        <w:autoSpaceDN w:val="0"/>
        <w:adjustRightInd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EG"/>
        </w:rPr>
      </w:pPr>
    </w:p>
    <w:p w:rsidR="00597B03" w:rsidRDefault="00597B03" w:rsidP="00597B03">
      <w:pPr>
        <w:tabs>
          <w:tab w:val="left" w:pos="2410"/>
        </w:tabs>
        <w:overflowPunct w:val="0"/>
        <w:autoSpaceDE w:val="0"/>
        <w:autoSpaceDN w:val="0"/>
        <w:adjustRightInd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EG"/>
        </w:rPr>
      </w:pPr>
    </w:p>
    <w:p w:rsidR="00597B03" w:rsidRDefault="00597B03" w:rsidP="00597B03">
      <w:pPr>
        <w:tabs>
          <w:tab w:val="left" w:pos="2410"/>
        </w:tabs>
        <w:overflowPunct w:val="0"/>
        <w:autoSpaceDE w:val="0"/>
        <w:autoSpaceDN w:val="0"/>
        <w:adjustRightInd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EG"/>
        </w:rPr>
      </w:pPr>
    </w:p>
    <w:p w:rsidR="00597B03" w:rsidRDefault="00597B03" w:rsidP="00597B03">
      <w:pPr>
        <w:tabs>
          <w:tab w:val="left" w:pos="2410"/>
        </w:tabs>
        <w:overflowPunct w:val="0"/>
        <w:autoSpaceDE w:val="0"/>
        <w:autoSpaceDN w:val="0"/>
        <w:adjustRightInd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EG"/>
        </w:rPr>
      </w:pPr>
    </w:p>
    <w:p w:rsidR="00597B03" w:rsidRDefault="00597B03" w:rsidP="00597B03">
      <w:pPr>
        <w:tabs>
          <w:tab w:val="left" w:pos="2410"/>
        </w:tabs>
        <w:overflowPunct w:val="0"/>
        <w:autoSpaceDE w:val="0"/>
        <w:autoSpaceDN w:val="0"/>
        <w:adjustRightInd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789"/>
      </w:tblGrid>
      <w:tr w:rsidR="00597B03" w:rsidTr="00CE53D3">
        <w:tc>
          <w:tcPr>
            <w:tcW w:w="4015" w:type="dxa"/>
          </w:tcPr>
          <w:p w:rsidR="00597B03" w:rsidRDefault="00597B03" w:rsidP="00CE53D3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noProof/>
                <w:sz w:val="28"/>
                <w:szCs w:val="28"/>
                <w:rtl/>
              </w:rPr>
              <w:lastRenderedPageBreak/>
              <w:drawing>
                <wp:inline distT="0" distB="0" distL="0" distR="0" wp14:anchorId="1B3D133E" wp14:editId="1117E7A0">
                  <wp:extent cx="2412365" cy="1611630"/>
                  <wp:effectExtent l="0" t="0" r="6985" b="762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1104-WA003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161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B03" w:rsidTr="00CE53D3">
        <w:tc>
          <w:tcPr>
            <w:tcW w:w="4015" w:type="dxa"/>
          </w:tcPr>
          <w:p w:rsidR="00597B03" w:rsidRDefault="00597B03" w:rsidP="00CE53D3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noProof/>
                <w:sz w:val="28"/>
                <w:szCs w:val="28"/>
                <w:rtl/>
              </w:rPr>
              <w:drawing>
                <wp:inline distT="0" distB="0" distL="0" distR="0" wp14:anchorId="5D1D9E25" wp14:editId="5448D40C">
                  <wp:extent cx="2412365" cy="1611630"/>
                  <wp:effectExtent l="0" t="0" r="6985" b="762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1104-WA001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161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B03" w:rsidTr="00CE53D3">
        <w:tc>
          <w:tcPr>
            <w:tcW w:w="4015" w:type="dxa"/>
          </w:tcPr>
          <w:p w:rsidR="00597B03" w:rsidRDefault="00597B03" w:rsidP="00CE53D3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noProof/>
                <w:sz w:val="28"/>
                <w:szCs w:val="28"/>
                <w:rtl/>
              </w:rPr>
              <w:drawing>
                <wp:inline distT="0" distB="0" distL="0" distR="0" wp14:anchorId="08FBABB3" wp14:editId="39F6B59D">
                  <wp:extent cx="2412365" cy="1611630"/>
                  <wp:effectExtent l="0" t="0" r="6985" b="762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1104-WA003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161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B03" w:rsidTr="00CE53D3">
        <w:tc>
          <w:tcPr>
            <w:tcW w:w="4015" w:type="dxa"/>
          </w:tcPr>
          <w:p w:rsidR="00597B03" w:rsidRDefault="00597B03" w:rsidP="00CE53D3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noProof/>
                <w:sz w:val="28"/>
                <w:szCs w:val="28"/>
                <w:rtl/>
              </w:rPr>
              <w:drawing>
                <wp:inline distT="0" distB="0" distL="0" distR="0" wp14:anchorId="48A21BBB" wp14:editId="0E0EAAA8">
                  <wp:extent cx="2412365" cy="1611630"/>
                  <wp:effectExtent l="0" t="0" r="6985" b="762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1104-WA0045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161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B03" w:rsidTr="00CE53D3">
        <w:tc>
          <w:tcPr>
            <w:tcW w:w="4015" w:type="dxa"/>
          </w:tcPr>
          <w:p w:rsidR="00597B03" w:rsidRDefault="00597B03" w:rsidP="00CE53D3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noProof/>
                <w:sz w:val="28"/>
                <w:szCs w:val="28"/>
                <w:rtl/>
              </w:rPr>
              <w:drawing>
                <wp:inline distT="0" distB="0" distL="0" distR="0" wp14:anchorId="63B59AB6" wp14:editId="48FD3459">
                  <wp:extent cx="2412365" cy="1809115"/>
                  <wp:effectExtent l="0" t="0" r="6985" b="63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191030103027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180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7B03" w:rsidRDefault="00597B03" w:rsidP="00597B03">
      <w:pPr>
        <w:tabs>
          <w:tab w:val="left" w:pos="2410"/>
        </w:tabs>
        <w:overflowPunct w:val="0"/>
        <w:autoSpaceDE w:val="0"/>
        <w:autoSpaceDN w:val="0"/>
        <w:adjustRightInd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EG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789"/>
      </w:tblGrid>
      <w:tr w:rsidR="00597B03" w:rsidTr="00CE53D3">
        <w:tc>
          <w:tcPr>
            <w:tcW w:w="4015" w:type="dxa"/>
          </w:tcPr>
          <w:p w:rsidR="00597B03" w:rsidRDefault="00597B03" w:rsidP="00CE53D3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noProof/>
                <w:sz w:val="28"/>
                <w:szCs w:val="28"/>
                <w:rtl/>
              </w:rPr>
              <w:drawing>
                <wp:inline distT="0" distB="0" distL="0" distR="0" wp14:anchorId="34CE1A51" wp14:editId="61D4630D">
                  <wp:extent cx="2412365" cy="1611630"/>
                  <wp:effectExtent l="0" t="0" r="698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1104-WA002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161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B03" w:rsidTr="00CE53D3">
        <w:tc>
          <w:tcPr>
            <w:tcW w:w="4015" w:type="dxa"/>
          </w:tcPr>
          <w:p w:rsidR="00597B03" w:rsidRDefault="00597B03" w:rsidP="00CE53D3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noProof/>
                <w:sz w:val="28"/>
                <w:szCs w:val="28"/>
                <w:rtl/>
              </w:rPr>
              <w:drawing>
                <wp:inline distT="0" distB="0" distL="0" distR="0" wp14:anchorId="2BE8CA75" wp14:editId="1CABB117">
                  <wp:extent cx="2412365" cy="1611630"/>
                  <wp:effectExtent l="0" t="0" r="6985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1104-WA003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161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B03" w:rsidTr="00CE53D3">
        <w:tc>
          <w:tcPr>
            <w:tcW w:w="4015" w:type="dxa"/>
          </w:tcPr>
          <w:p w:rsidR="00597B03" w:rsidRDefault="00597B03" w:rsidP="00CE53D3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noProof/>
                <w:sz w:val="28"/>
                <w:szCs w:val="28"/>
                <w:rtl/>
              </w:rPr>
              <w:drawing>
                <wp:inline distT="0" distB="0" distL="0" distR="0" wp14:anchorId="01B576E2" wp14:editId="299E6012">
                  <wp:extent cx="2412365" cy="1809115"/>
                  <wp:effectExtent l="0" t="0" r="6985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1031-WA0055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180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B03" w:rsidTr="00CE53D3">
        <w:tc>
          <w:tcPr>
            <w:tcW w:w="4015" w:type="dxa"/>
          </w:tcPr>
          <w:p w:rsidR="00597B03" w:rsidRDefault="00597B03" w:rsidP="00CE53D3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noProof/>
                <w:sz w:val="28"/>
                <w:szCs w:val="28"/>
                <w:rtl/>
              </w:rPr>
              <w:lastRenderedPageBreak/>
              <w:drawing>
                <wp:inline distT="0" distB="0" distL="0" distR="0" wp14:anchorId="3BD84D36" wp14:editId="7416E3B6">
                  <wp:extent cx="2412365" cy="1809115"/>
                  <wp:effectExtent l="0" t="0" r="6985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191105125338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180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B03" w:rsidTr="00CE53D3">
        <w:tc>
          <w:tcPr>
            <w:tcW w:w="4015" w:type="dxa"/>
          </w:tcPr>
          <w:p w:rsidR="00597B03" w:rsidRDefault="00597B03" w:rsidP="00CE53D3">
            <w:pPr>
              <w:tabs>
                <w:tab w:val="left" w:pos="2410"/>
              </w:tabs>
              <w:overflowPunct w:val="0"/>
              <w:autoSpaceDE w:val="0"/>
              <w:autoSpaceDN w:val="0"/>
              <w:adjustRightInd w:val="0"/>
              <w:jc w:val="both"/>
              <w:rPr>
                <w:rFonts w:ascii="Simplified Arabic" w:hAnsi="Simplified Arabic" w:cs="Simplified Arabic"/>
                <w:b/>
                <w:sz w:val="28"/>
                <w:szCs w:val="28"/>
                <w:rtl/>
                <w:lang w:bidi="ar-EG"/>
              </w:rPr>
            </w:pPr>
            <w:r>
              <w:rPr>
                <w:rFonts w:ascii="Simplified Arabic" w:hAnsi="Simplified Arabic" w:cs="Simplified Arabic" w:hint="cs"/>
                <w:b/>
                <w:noProof/>
                <w:sz w:val="28"/>
                <w:szCs w:val="28"/>
                <w:rtl/>
              </w:rPr>
              <w:drawing>
                <wp:inline distT="0" distB="0" distL="0" distR="0" wp14:anchorId="2D2AA7D1" wp14:editId="5874C994">
                  <wp:extent cx="2412365" cy="1611630"/>
                  <wp:effectExtent l="0" t="0" r="6985" b="762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1104-WA0046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161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7B03" w:rsidRDefault="00597B03" w:rsidP="00597B03">
      <w:pPr>
        <w:tabs>
          <w:tab w:val="left" w:pos="2410"/>
        </w:tabs>
        <w:overflowPunct w:val="0"/>
        <w:autoSpaceDE w:val="0"/>
        <w:autoSpaceDN w:val="0"/>
        <w:adjustRightInd w:val="0"/>
        <w:jc w:val="both"/>
        <w:rPr>
          <w:rFonts w:ascii="Simplified Arabic" w:hAnsi="Simplified Arabic" w:cs="Simplified Arabic"/>
          <w:b/>
          <w:sz w:val="28"/>
          <w:szCs w:val="28"/>
          <w:rtl/>
          <w:lang w:bidi="ar-EG"/>
        </w:rPr>
      </w:pPr>
    </w:p>
    <w:p w:rsidR="00597B03" w:rsidRDefault="00597B03" w:rsidP="00597B03">
      <w:pPr>
        <w:rPr>
          <w:rFonts w:ascii="Simplified Arabic" w:hAnsi="Simplified Arabic" w:cs="Simplified Arabic"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XSpec="right" w:tblpY="32"/>
        <w:bidiVisual/>
        <w:tblW w:w="0" w:type="auto"/>
        <w:tblLook w:val="04A0" w:firstRow="1" w:lastRow="0" w:firstColumn="1" w:lastColumn="0" w:noHBand="0" w:noVBand="1"/>
      </w:tblPr>
      <w:tblGrid>
        <w:gridCol w:w="3789"/>
      </w:tblGrid>
      <w:tr w:rsidR="00597B03" w:rsidTr="00CE53D3">
        <w:tc>
          <w:tcPr>
            <w:tcW w:w="4015" w:type="dxa"/>
          </w:tcPr>
          <w:p w:rsidR="00597B03" w:rsidRDefault="00597B03" w:rsidP="00CE53D3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</w:rPr>
              <w:drawing>
                <wp:inline distT="0" distB="0" distL="0" distR="0" wp14:anchorId="136605A4" wp14:editId="4BF31402">
                  <wp:extent cx="2642870" cy="1982470"/>
                  <wp:effectExtent l="0" t="0" r="508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ح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870" cy="198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B03" w:rsidTr="00CE53D3">
        <w:tc>
          <w:tcPr>
            <w:tcW w:w="4015" w:type="dxa"/>
          </w:tcPr>
          <w:p w:rsidR="00597B03" w:rsidRDefault="00597B03" w:rsidP="00CE53D3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</w:rPr>
              <w:drawing>
                <wp:inline distT="0" distB="0" distL="0" distR="0" wp14:anchorId="475369BE" wp14:editId="660C6FC5">
                  <wp:extent cx="2642870" cy="1982470"/>
                  <wp:effectExtent l="0" t="0" r="508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191105124228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870" cy="198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B03" w:rsidTr="00CE53D3">
        <w:tc>
          <w:tcPr>
            <w:tcW w:w="4015" w:type="dxa"/>
          </w:tcPr>
          <w:p w:rsidR="00597B03" w:rsidRDefault="00597B03" w:rsidP="00CE53D3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</w:rPr>
              <w:drawing>
                <wp:inline distT="0" distB="0" distL="0" distR="0" wp14:anchorId="0628B8EE" wp14:editId="634B2633">
                  <wp:extent cx="2642870" cy="1982470"/>
                  <wp:effectExtent l="0" t="0" r="508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191107111936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870" cy="198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B03" w:rsidTr="00CE53D3">
        <w:tc>
          <w:tcPr>
            <w:tcW w:w="4015" w:type="dxa"/>
          </w:tcPr>
          <w:p w:rsidR="00597B03" w:rsidRDefault="00597B03" w:rsidP="00CE53D3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</w:rPr>
              <w:drawing>
                <wp:inline distT="0" distB="0" distL="0" distR="0" wp14:anchorId="55056504" wp14:editId="4B013946">
                  <wp:extent cx="2642870" cy="1982470"/>
                  <wp:effectExtent l="0" t="0" r="508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191215111750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870" cy="1982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pPr w:leftFromText="180" w:rightFromText="180" w:vertAnchor="text" w:horzAnchor="margin" w:tblpY="-14"/>
        <w:bidiVisual/>
        <w:tblW w:w="0" w:type="auto"/>
        <w:tblLook w:val="04A0" w:firstRow="1" w:lastRow="0" w:firstColumn="1" w:lastColumn="0" w:noHBand="0" w:noVBand="1"/>
      </w:tblPr>
      <w:tblGrid>
        <w:gridCol w:w="3789"/>
      </w:tblGrid>
      <w:tr w:rsidR="00597B03" w:rsidTr="00CE53D3">
        <w:tc>
          <w:tcPr>
            <w:tcW w:w="4015" w:type="dxa"/>
          </w:tcPr>
          <w:p w:rsidR="00597B03" w:rsidRDefault="00597B03" w:rsidP="00CE53D3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</w:rPr>
              <w:lastRenderedPageBreak/>
              <w:drawing>
                <wp:inline distT="0" distB="0" distL="0" distR="0" wp14:anchorId="08FEFEB6" wp14:editId="397E3C26">
                  <wp:extent cx="2411604" cy="2009671"/>
                  <wp:effectExtent l="0" t="0" r="825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191215111720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2010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B03" w:rsidTr="00CE53D3">
        <w:tc>
          <w:tcPr>
            <w:tcW w:w="4015" w:type="dxa"/>
          </w:tcPr>
          <w:p w:rsidR="00597B03" w:rsidRDefault="00597B03" w:rsidP="00CE53D3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</w:rPr>
              <w:drawing>
                <wp:inline distT="0" distB="0" distL="0" distR="0" wp14:anchorId="3AD641D7" wp14:editId="48A8AC3F">
                  <wp:extent cx="2411604" cy="1989573"/>
                  <wp:effectExtent l="0" t="0" r="825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80710564_591548054944033_7343057168804872192_n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1990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B03" w:rsidTr="00CE53D3">
        <w:tc>
          <w:tcPr>
            <w:tcW w:w="4015" w:type="dxa"/>
          </w:tcPr>
          <w:p w:rsidR="00597B03" w:rsidRDefault="00597B03" w:rsidP="00CE53D3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</w:rPr>
              <w:drawing>
                <wp:inline distT="0" distB="0" distL="0" distR="0" wp14:anchorId="09E4D03F" wp14:editId="2A15AED2">
                  <wp:extent cx="2411604" cy="1969477"/>
                  <wp:effectExtent l="0" t="0" r="825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191106111550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1970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7B03" w:rsidTr="00CE53D3">
        <w:tc>
          <w:tcPr>
            <w:tcW w:w="4015" w:type="dxa"/>
          </w:tcPr>
          <w:p w:rsidR="00597B03" w:rsidRDefault="00597B03" w:rsidP="00CE53D3">
            <w:pPr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noProof/>
                <w:sz w:val="28"/>
                <w:szCs w:val="28"/>
                <w:rtl/>
              </w:rPr>
              <w:drawing>
                <wp:inline distT="0" distB="0" distL="0" distR="0" wp14:anchorId="1CE06F08" wp14:editId="691036FB">
                  <wp:extent cx="2411604" cy="1979525"/>
                  <wp:effectExtent l="0" t="0" r="8255" b="190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20191105124228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2365" cy="198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7B03" w:rsidRDefault="00597B03" w:rsidP="00597B03">
      <w:pPr>
        <w:rPr>
          <w:rFonts w:ascii="Simplified Arabic" w:hAnsi="Simplified Arabic" w:cs="Simplified Arabic"/>
          <w:sz w:val="28"/>
          <w:szCs w:val="28"/>
          <w:rtl/>
        </w:rPr>
      </w:pPr>
    </w:p>
    <w:p w:rsidR="00597B03" w:rsidRDefault="00597B03" w:rsidP="00597B03">
      <w:pPr>
        <w:rPr>
          <w:rFonts w:ascii="Simplified Arabic" w:hAnsi="Simplified Arabic" w:cs="Simplified Arabic"/>
          <w:sz w:val="28"/>
          <w:szCs w:val="28"/>
          <w:rtl/>
        </w:rPr>
      </w:pPr>
    </w:p>
    <w:p w:rsidR="00597B03" w:rsidRDefault="00597B03" w:rsidP="00597B03">
      <w:pPr>
        <w:rPr>
          <w:rFonts w:ascii="Simplified Arabic" w:hAnsi="Simplified Arabic" w:cs="Simplified Arabic"/>
          <w:sz w:val="28"/>
          <w:szCs w:val="28"/>
          <w:rtl/>
        </w:rPr>
      </w:pPr>
    </w:p>
    <w:p w:rsidR="00597B03" w:rsidRDefault="00597B03" w:rsidP="00597B03">
      <w:pPr>
        <w:shd w:val="clear" w:color="auto" w:fill="FFFFFF"/>
        <w:spacing w:after="150" w:line="240" w:lineRule="auto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D260C">
        <w:rPr>
          <w:rFonts w:ascii="Simplified Arabic" w:eastAsia="Times New Roman" w:hAnsi="Simplified Arabic" w:cs="Simplified Arabic"/>
          <w:color w:val="666666"/>
          <w:sz w:val="28"/>
          <w:szCs w:val="28"/>
          <w:rtl/>
        </w:rPr>
        <w:t xml:space="preserve"> </w:t>
      </w:r>
    </w:p>
    <w:p w:rsidR="0029458A" w:rsidRDefault="0029458A">
      <w:pPr>
        <w:rPr>
          <w:rFonts w:hint="cs"/>
          <w:lang w:bidi="ar-EG"/>
        </w:rPr>
      </w:pPr>
      <w:bookmarkStart w:id="0" w:name="_GoBack"/>
      <w:bookmarkEnd w:id="0"/>
    </w:p>
    <w:sectPr w:rsidR="0029458A" w:rsidSect="00F72CB8">
      <w:headerReference w:type="default" r:id="rId22"/>
      <w:footerReference w:type="default" r:id="rId23"/>
      <w:pgSz w:w="11906" w:h="16838"/>
      <w:pgMar w:top="1440" w:right="1800" w:bottom="1440" w:left="1800" w:header="708" w:footer="708" w:gutter="0"/>
      <w:cols w:num="2"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32158810"/>
      <w:docPartObj>
        <w:docPartGallery w:val="Page Numbers (Bottom of Page)"/>
        <w:docPartUnique/>
      </w:docPartObj>
    </w:sdtPr>
    <w:sdtEndPr/>
    <w:sdtContent>
      <w:p w:rsidR="001529A6" w:rsidRDefault="00597B0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1529A6" w:rsidRDefault="00597B03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844" w:rsidRDefault="00597B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B03"/>
    <w:rsid w:val="0029458A"/>
    <w:rsid w:val="0059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7952AF-8277-4E22-B4A1-2CC9E0554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B03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7B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7B03"/>
  </w:style>
  <w:style w:type="paragraph" w:styleId="Footer">
    <w:name w:val="footer"/>
    <w:basedOn w:val="Normal"/>
    <w:link w:val="FooterChar"/>
    <w:uiPriority w:val="99"/>
    <w:unhideWhenUsed/>
    <w:rsid w:val="00597B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7B03"/>
  </w:style>
  <w:style w:type="table" w:styleId="TableGrid">
    <w:name w:val="Table Grid"/>
    <w:basedOn w:val="TableNormal"/>
    <w:uiPriority w:val="59"/>
    <w:rsid w:val="00597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oter" Target="footer1.xml"/><Relationship Id="rId10" Type="http://schemas.openxmlformats.org/officeDocument/2006/relationships/image" Target="media/image7.jpeg"/><Relationship Id="rId19" Type="http://schemas.openxmlformats.org/officeDocument/2006/relationships/image" Target="media/image16.jp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Soudy</dc:creator>
  <cp:keywords/>
  <dc:description/>
  <cp:lastModifiedBy>Dr Soudy</cp:lastModifiedBy>
  <cp:revision>1</cp:revision>
  <dcterms:created xsi:type="dcterms:W3CDTF">2021-07-08T10:16:00Z</dcterms:created>
  <dcterms:modified xsi:type="dcterms:W3CDTF">2021-07-08T10:16:00Z</dcterms:modified>
</cp:coreProperties>
</file>